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r>
        <w:t xml:space="preserve">Аналіз технологічних процесів виробництва картопляного крохмалю та їх апаратурне оснащення</w:t>
      </w:r>
    </w:p>
    <w:p>
      <w:pPr>
        <w:pStyle w:val="TOCHeading"/>
      </w:pPr>
      <w:r>
        <w:t>Contents</w:t>
      </w:r>
    </w:p>
    <w:p>
      <w:pPr>
        <w:ind w:left="360"/>
      </w:pPr>
      <w:r>
        <w:fldChar w:fldCharType="begin" w:dirty="true"/>
      </w:r>
      <w:r>
        <w:instrText xml:space="preserve"> TOC \o "1-3" \h \z \u </w:instrText>
      </w:r>
      <w:r>
        <w:fldChar w:fldCharType="separate"/>
      </w:r>
      <w:r>
        <w:t xml:space="preserve">Аналітичний огляд наукових публікацій</w:t>
      </w:r>
    </w:p>
    <w:p>
      <w:pPr>
        <w:ind w:left="360"/>
      </w:pPr>
      <w:r>
        <w:t xml:space="preserve">Короткий висновок</w:t>
      </w:r>
    </w:p>
    <w:p>
      <w:pPr>
        <w:ind w:left="360"/>
      </w:pPr>
      <w:r>
        <w:t xml:space="preserve">1. Технологічна схема та апаратурне оснащення</w:t>
      </w:r>
    </w:p>
    <w:p>
      <w:pPr>
        <w:ind w:left="720"/>
      </w:pPr>
      <w:r>
        <w:t xml:space="preserve">Важливі показники зі схем промислового виробництва</w:t>
      </w:r>
    </w:p>
    <w:p>
      <w:pPr>
        <w:ind w:left="360"/>
      </w:pPr>
      <w:r>
        <w:t xml:space="preserve">2. Що показують дослідження обладнання та процесів</w:t>
      </w:r>
    </w:p>
    <w:p>
      <w:pPr>
        <w:ind w:left="720"/>
      </w:pPr>
      <w:r>
        <w:t xml:space="preserve">Гідроциклонні установки — ключовий вузол очищення</w:t>
      </w:r>
    </w:p>
    <w:p>
      <w:pPr>
        <w:ind w:left="720"/>
      </w:pPr>
      <w:r>
        <w:t xml:space="preserve">Альтернативні й маломасштабні рішення вилучення крохмалю</w:t>
      </w:r>
    </w:p>
    <w:p>
      <w:pPr>
        <w:ind w:left="720"/>
      </w:pPr>
      <w:r>
        <w:t xml:space="preserve">Обробка відходів, побічних продуктів і води</w:t>
      </w:r>
    </w:p>
    <w:p>
      <w:pPr>
        <w:ind w:left="360"/>
      </w:pPr>
      <w:r>
        <w:t xml:space="preserve">3. Тренди та обмеження доказів</w:t>
      </w:r>
    </w:p>
    <w:p>
      <w:pPr>
        <w:ind w:left="360"/>
      </w:pPr>
      <w:r>
        <w:t xml:space="preserve">4. Перспективні питання для дипломної/магістерської роботи</w:t>
      </w:r>
    </w:p>
    <w:p>
      <w:pPr>
        <w:ind w:left="360"/>
      </w:pPr>
      <w:r>
        <w:t xml:space="preserve">5. Добірка релевантних публікацій</w:t>
      </w:r>
    </w:p>
    <w:p>
      <w:pPr>
        <w:ind w:left="360"/>
      </w:pPr>
      <w:r>
        <w:t xml:space="preserve">Метод пошуку та межі огляду</w:t>
      </w:r>
    </w:p>
    <w:p>
      <w:pPr>
        <w:ind w:left="360"/>
      </w:pPr>
      <w:r>
        <w:t xml:space="preserve">References</w:t>
      </w:r>
      <w:r>
        <w:fldChar w:fldCharType="end"/>
      </w:r>
    </w:p>
    <w:p>
      <w:pPr>
        <w:pStyle w:val="Heading2"/>
      </w:pPr>
      <w:r>
        <w:t xml:space="preserve">Аналітичний огляд наукових публікацій</w:t>
      </w:r>
    </w:p>
    <w:p>
      <w:pPr>
        <w:pStyle w:val="FirstParagraph"/>
      </w:pPr>
      <w:r>
        <w:rPr>
          <w:b/>
          <w:bCs/>
        </w:rPr>
        <w:t xml:space="preserve">Дата підготовки:</w:t>
      </w:r>
      <w:r>
        <w:t xml:space="preserve"> </w:t>
      </w:r>
      <w:r>
        <w:t xml:space="preserve">18 жовтня 2026 року</w:t>
      </w:r>
      <w:r>
        <w:br/>
      </w:r>
      <w:r>
        <w:rPr>
          <w:b/>
          <w:bCs/>
        </w:rPr>
        <w:t xml:space="preserve">Мета:</w:t>
      </w:r>
      <w:r>
        <w:t xml:space="preserve"> </w:t>
      </w:r>
      <w:r>
        <w:t xml:space="preserve">узагальнити публікації про послідовність операцій, обладнання, ресурсоощадні рішення та актуальні напрями удосконалення виробництва картопляного крохмалю.</w:t>
      </w:r>
    </w:p>
    <w:p>
      <w:pPr>
        <w:pStyle w:val="Heading2"/>
      </w:pPr>
      <w:r>
        <w:t xml:space="preserve">Короткий висновок</w:t>
      </w:r>
    </w:p>
    <w:p>
      <w:pPr>
        <w:pStyle w:val="FirstParagraph"/>
      </w:pPr>
      <w:r>
        <w:t xml:space="preserve">Література описує промислове виробництво як мокрий процес із послідовними операціями: приймання й очищення бульб, подрібнення (тертя/розтирання), відокремлення волокнистої фази, промивання та очищення крохмального молока, згущення/зневоднення і сушіння крохмалю. Основні апаратурні вузли — мийні установки, терки або дробарки, ситові апарати, декантери й центрифуги, багатоступеневі гідроциклони, фільтри та сушарки. Якість і вихід залежать не лише від окремого апарата, а й від узгодження режимів та схем потоків між операціями.</w:t>
      </w:r>
      <w:r>
        <w:t xml:space="preserve"> </w:t>
      </w:r>
      <w:hyperlink w:anchor="ref-bergthaller1999">
        <w:r>
          <w:rPr>
            <w:rStyle w:val="Hyperlink"/>
          </w:rPr>
          <w:t xml:space="preserve">[1]</w:t>
        </w:r>
      </w:hyperlink>
      <w:r>
        <w:t xml:space="preserve">,</w:t>
      </w:r>
      <w:r>
        <w:t xml:space="preserve"> </w:t>
      </w:r>
      <w:hyperlink w:anchor="ref-holthuis1972">
        <w:r>
          <w:rPr>
            <w:rStyle w:val="Hyperlink"/>
          </w:rPr>
          <w:t xml:space="preserve">[2]</w:t>
        </w:r>
      </w:hyperlink>
    </w:p>
    <w:p>
      <w:pPr>
        <w:pStyle w:val="BodyText"/>
      </w:pPr>
      <w:r>
        <w:t xml:space="preserve">У сучасніших працях акцент зміщується на зниження витрат води й енергії, оптимізацію гідроциклонних батарей, маломасштабні модулі переробки та відновлення побічних потоків мембранними процесами. Однак значна частина нових результатів стосується лабораторних чи пілотних установок, а не перевірених повномасштабних заводських ліній; тому наведені нижче показники не можна безпосередньо ранжувати як альтернативні технології.</w:t>
      </w:r>
      <w:r>
        <w:t xml:space="preserve"> </w:t>
      </w:r>
      <w:hyperlink w:anchor="ref-andreev2016">
        <w:r>
          <w:rPr>
            <w:rStyle w:val="Hyperlink"/>
          </w:rPr>
          <w:t xml:space="preserve">[3]</w:t>
        </w:r>
      </w:hyperlink>
      <w:r>
        <w:t xml:space="preserve">,</w:t>
      </w:r>
      <w:r>
        <w:t xml:space="preserve"> </w:t>
      </w:r>
      <w:hyperlink w:anchor="ref-sjlin2025">
        <w:r>
          <w:rPr>
            <w:rStyle w:val="Hyperlink"/>
          </w:rPr>
          <w:t xml:space="preserve">[4]</w:t>
        </w:r>
      </w:hyperlink>
      <w:r>
        <w:t xml:space="preserve">,</w:t>
      </w:r>
      <w:r>
        <w:t xml:space="preserve"> </w:t>
      </w:r>
      <w:hyperlink w:anchor="ref-rajewska2023">
        <w:r>
          <w:rPr>
            <w:rStyle w:val="Hyperlink"/>
          </w:rPr>
          <w:t xml:space="preserve">[5]</w:t>
        </w:r>
      </w:hyperlink>
    </w:p>
    <w:p>
      <w:pPr>
        <w:pStyle w:val="Heading2"/>
        <w:keepNext/>
      </w:pPr>
      <w:r>
        <w:t xml:space="preserve">1. Технологічна схема та апаратурне оснащення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712"/>
        <w:gridCol w:w="2745"/>
        <w:gridCol w:w="3462"/>
      </w:tblGrid>
      <w:tr>
        <w:trPr>
          <w:cantSplit/>
          <w:tblHeader w:val="on"/>
        </w:trPr>
        <w:tc>
          <w:tcPr/>
          <w:p>
            <w:pPr>
              <w:pStyle w:val="Compact"/>
              <w:keepNext/>
            </w:pPr>
            <w:r>
              <w:t xml:space="preserve">Етап</w:t>
            </w:r>
          </w:p>
        </w:tc>
        <w:tc>
          <w:tcPr/>
          <w:p>
            <w:pPr>
              <w:pStyle w:val="Compact"/>
              <w:keepNext/>
            </w:pPr>
            <w:r>
              <w:t xml:space="preserve">Основні операції та типове обладнання</w:t>
            </w:r>
          </w:p>
        </w:tc>
        <w:tc>
          <w:tcPr/>
          <w:p>
            <w:pPr>
              <w:pStyle w:val="Compact"/>
              <w:keepNext/>
            </w:pPr>
            <w:r>
              <w:t xml:space="preserve">Технологічне значення / що досліджують</w:t>
            </w:r>
          </w:p>
        </w:tc>
      </w:tr>
      <w:tr>
        <w:trPr>
          <w:cantSplit/>
        </w:trPr>
        <w:tc>
          <w:tcPr/>
          <w:p>
            <w:pPr>
              <w:pStyle w:val="Compact"/>
            </w:pPr>
            <w:r>
              <w:t xml:space="preserve">Приймання й підготовка сировини</w:t>
            </w:r>
          </w:p>
        </w:tc>
        <w:tc>
          <w:tcPr/>
          <w:p>
            <w:pPr>
              <w:pStyle w:val="Compact"/>
            </w:pPr>
            <w:r>
              <w:t xml:space="preserve">Приймальний бункер і транспортери; мийна установка, за потреби — каменевідділення</w:t>
            </w:r>
          </w:p>
        </w:tc>
        <w:tc>
          <w:tcPr/>
          <w:p>
            <w:pPr>
              <w:pStyle w:val="Compact"/>
            </w:pPr>
            <w:r>
              <w:t xml:space="preserve">Видалення ґрунту й домішок перед подрібненням; ранні описи промислових ліній окремо називають вузли приймання та миття.</w:t>
            </w:r>
            <w:r>
              <w:t xml:space="preserve"> </w:t>
            </w:r>
            <w:hyperlink w:anchor="ref-holthuis1972">
              <w:r>
                <w:rPr>
                  <w:rStyle w:val="Hyperlink"/>
                </w:rPr>
                <w:t xml:space="preserve">[2]</w:t>
              </w:r>
            </w:hyperlink>
          </w:p>
        </w:tc>
      </w:tr>
      <w:tr>
        <w:trPr>
          <w:cantSplit/>
        </w:trPr>
        <w:tc>
          <w:tcPr/>
          <w:p>
            <w:pPr>
              <w:pStyle w:val="Compact"/>
            </w:pPr>
            <w:r>
              <w:t xml:space="preserve">Подрібнення клітинної тканини</w:t>
            </w:r>
          </w:p>
        </w:tc>
        <w:tc>
          <w:tcPr/>
          <w:p>
            <w:pPr>
              <w:pStyle w:val="Compact"/>
            </w:pPr>
            <w:r>
              <w:t xml:space="preserve">Терка/рафінер або інший подрібнювач; подача води й насоси</w:t>
            </w:r>
          </w:p>
        </w:tc>
        <w:tc>
          <w:tcPr/>
          <w:p>
            <w:pPr>
              <w:pStyle w:val="Compact"/>
            </w:pPr>
            <w:r>
              <w:t xml:space="preserve">Руйнування тканини бульби та вивільнення гранул крохмалю; практичний результат залежить від конструкції та взаємодії подрібнення з наступним просіюванням і відділенням.</w:t>
            </w:r>
            <w:r>
              <w:t xml:space="preserve"> </w:t>
            </w:r>
            <w:hyperlink w:anchor="ref-bergthaller1999">
              <w:r>
                <w:rPr>
                  <w:rStyle w:val="Hyperlink"/>
                </w:rPr>
                <w:t xml:space="preserve">[1]</w:t>
              </w:r>
            </w:hyperlink>
          </w:p>
        </w:tc>
      </w:tr>
      <w:tr>
        <w:trPr>
          <w:cantSplit/>
        </w:trPr>
        <w:tc>
          <w:tcPr/>
          <w:p>
            <w:pPr>
              <w:pStyle w:val="Compact"/>
            </w:pPr>
            <w:r>
              <w:t xml:space="preserve">Відділення волокнистої фази</w:t>
            </w:r>
          </w:p>
        </w:tc>
        <w:tc>
          <w:tcPr/>
          <w:p>
            <w:pPr>
              <w:pStyle w:val="Compact"/>
            </w:pPr>
            <w:r>
              <w:t xml:space="preserve">Сита, дугові/центрифугальні сита, декантер або центрифуга</w:t>
            </w:r>
          </w:p>
        </w:tc>
        <w:tc>
          <w:tcPr/>
          <w:p>
            <w:pPr>
              <w:pStyle w:val="Compact"/>
            </w:pPr>
            <w:r>
              <w:t xml:space="preserve">Відокремлення грубого й тонкого волокна від крохмального молока; промислова схема спирається на комбінування просіювання й декантування.</w:t>
            </w:r>
            <w:r>
              <w:t xml:space="preserve"> </w:t>
            </w:r>
            <w:hyperlink w:anchor="ref-bergthaller1999">
              <w:r>
                <w:rPr>
                  <w:rStyle w:val="Hyperlink"/>
                </w:rPr>
                <w:t xml:space="preserve">[1]</w:t>
              </w:r>
            </w:hyperlink>
            <w:r>
              <w:t xml:space="preserve">,</w:t>
            </w:r>
            <w:r>
              <w:t xml:space="preserve"> </w:t>
            </w:r>
            <w:hyperlink w:anchor="ref-holthuis1972">
              <w:r>
                <w:rPr>
                  <w:rStyle w:val="Hyperlink"/>
                </w:rPr>
                <w:t xml:space="preserve">[2]</w:t>
              </w:r>
            </w:hyperlink>
          </w:p>
        </w:tc>
      </w:tr>
      <w:tr>
        <w:trPr>
          <w:cantSplit/>
        </w:trPr>
        <w:tc>
          <w:tcPr/>
          <w:p>
            <w:pPr>
              <w:pStyle w:val="Compact"/>
            </w:pPr>
            <w:r>
              <w:t xml:space="preserve">Очищення та промивання крохмального молока</w:t>
            </w:r>
          </w:p>
        </w:tc>
        <w:tc>
          <w:tcPr/>
          <w:p>
            <w:pPr>
              <w:pStyle w:val="Compact"/>
            </w:pPr>
            <w:r>
              <w:t xml:space="preserve">Багатоступеневі гідроциклони/мультициклони, сита, відцентрові сепаратори</w:t>
            </w:r>
          </w:p>
        </w:tc>
        <w:tc>
          <w:tcPr/>
          <w:p>
            <w:pPr>
              <w:pStyle w:val="Compact"/>
            </w:pPr>
            <w:r>
              <w:t xml:space="preserve">Видалення залишкових волокон і розчинних домішок; багатоступенева протитечійна схема дає змогу підвищувати очищення й обмежувати витрату свіжої води.</w:t>
            </w:r>
            <w:r>
              <w:t xml:space="preserve"> </w:t>
            </w:r>
            <w:hyperlink w:anchor="ref-bergthaller1999">
              <w:r>
                <w:rPr>
                  <w:rStyle w:val="Hyperlink"/>
                </w:rPr>
                <w:t xml:space="preserve">[1]</w:t>
              </w:r>
            </w:hyperlink>
            <w:r>
              <w:t xml:space="preserve">,</w:t>
            </w:r>
            <w:r>
              <w:t xml:space="preserve"> </w:t>
            </w:r>
            <w:hyperlink w:anchor="ref-fecske1983">
              <w:r>
                <w:rPr>
                  <w:rStyle w:val="Hyperlink"/>
                </w:rPr>
                <w:t xml:space="preserve">[6]</w:t>
              </w:r>
            </w:hyperlink>
          </w:p>
        </w:tc>
      </w:tr>
      <w:tr>
        <w:trPr>
          <w:cantSplit/>
        </w:trPr>
        <w:tc>
          <w:tcPr/>
          <w:p>
            <w:pPr>
              <w:pStyle w:val="Compact"/>
            </w:pPr>
            <w:r>
              <w:t xml:space="preserve">Згущення та зневоднення</w:t>
            </w:r>
          </w:p>
        </w:tc>
        <w:tc>
          <w:tcPr/>
          <w:p>
            <w:pPr>
              <w:pStyle w:val="Compact"/>
            </w:pPr>
            <w:r>
              <w:t xml:space="preserve">Гідроциклони, декантери, вакуум-фільтри, прес-фільтри або центрифуги</w:t>
            </w:r>
          </w:p>
        </w:tc>
        <w:tc>
          <w:tcPr/>
          <w:p>
            <w:pPr>
              <w:pStyle w:val="Compact"/>
            </w:pPr>
            <w:r>
              <w:t xml:space="preserve">Підготовка очищеного крохмалю до сушіння; у промислових описах фігурують декантери, вакуум-фільтри та барабанно-стрічкові преси.</w:t>
            </w:r>
            <w:r>
              <w:t xml:space="preserve"> </w:t>
            </w:r>
            <w:hyperlink w:anchor="ref-holthuis1972">
              <w:r>
                <w:rPr>
                  <w:rStyle w:val="Hyperlink"/>
                </w:rPr>
                <w:t xml:space="preserve">[2]</w:t>
              </w:r>
            </w:hyperlink>
          </w:p>
        </w:tc>
      </w:tr>
      <w:tr>
        <w:trPr>
          <w:cantSplit/>
        </w:trPr>
        <w:tc>
          <w:tcPr/>
          <w:p>
            <w:pPr>
              <w:pStyle w:val="Compact"/>
            </w:pPr>
            <w:r>
              <w:t xml:space="preserve">Сушіння й пакування</w:t>
            </w:r>
          </w:p>
        </w:tc>
        <w:tc>
          <w:tcPr/>
          <w:p>
            <w:pPr>
              <w:pStyle w:val="Compact"/>
            </w:pPr>
            <w:r>
              <w:t xml:space="preserve">Сушарка, охолодження, просіювання та пакувальний вузол</w:t>
            </w:r>
          </w:p>
        </w:tc>
        <w:tc>
          <w:tcPr/>
          <w:p>
            <w:pPr>
              <w:pStyle w:val="Compact"/>
            </w:pPr>
            <w:r>
              <w:t xml:space="preserve">Отримання стабільного сухого продукту; доступні джерела підтверджують наявність сушіння у виробничій послідовності, але не дають достатньо актуальних порівняльних даних для вибору конкретного типу сушарки.</w:t>
            </w:r>
            <w:r>
              <w:t xml:space="preserve"> </w:t>
            </w:r>
            <w:hyperlink w:anchor="ref-jinwei2009">
              <w:r>
                <w:rPr>
                  <w:rStyle w:val="Hyperlink"/>
                </w:rPr>
                <w:t xml:space="preserve">[7]</w:t>
              </w:r>
            </w:hyperlink>
          </w:p>
        </w:tc>
      </w:tr>
      <w:tr>
        <w:trPr>
          <w:cantSplit/>
        </w:trPr>
        <w:tc>
          <w:tcPr/>
          <w:p>
            <w:pPr>
              <w:pStyle w:val="Compact"/>
            </w:pPr>
            <w:r>
              <w:t xml:space="preserve">Побічні потоки та вода</w:t>
            </w:r>
          </w:p>
        </w:tc>
        <w:tc>
          <w:tcPr/>
          <w:p>
            <w:pPr>
              <w:pStyle w:val="Compact"/>
            </w:pPr>
            <w:r>
              <w:t xml:space="preserve">Відділення білка/клітковини; мембранне концентрування фруктового соку, випарювання, очищення й рециркуляція води</w:t>
            </w:r>
          </w:p>
        </w:tc>
        <w:tc>
          <w:tcPr/>
          <w:p>
            <w:pPr>
              <w:pStyle w:val="Compact"/>
            </w:pPr>
            <w:r>
              <w:t xml:space="preserve">Зменшення енергетичних витрат на випарювання та вилучення цінних компонентів; мембранні рішення ще потребують масштабування й управління забрудненням мембран.</w:t>
            </w:r>
            <w:r>
              <w:t xml:space="preserve"> </w:t>
            </w:r>
            <w:hyperlink w:anchor="ref-sjlin2025">
              <w:r>
                <w:rPr>
                  <w:rStyle w:val="Hyperlink"/>
                </w:rPr>
                <w:t xml:space="preserve">[4]</w:t>
              </w:r>
            </w:hyperlink>
            <w:r>
              <w:t xml:space="preserve">,</w:t>
            </w:r>
            <w:r>
              <w:t xml:space="preserve"> </w:t>
            </w:r>
            <w:hyperlink w:anchor="ref-rajewska2023">
              <w:r>
                <w:rPr>
                  <w:rStyle w:val="Hyperlink"/>
                </w:rPr>
                <w:t xml:space="preserve">[5]</w:t>
              </w:r>
            </w:hyperlink>
          </w:p>
        </w:tc>
      </w:tr>
    </w:tbl>
    <w:p>
      <w:pPr>
        <w:pStyle w:val="Heading3"/>
      </w:pPr>
      <w:r>
        <w:t xml:space="preserve">Важливі показники зі схем промислового виробництва</w:t>
      </w:r>
    </w:p>
    <w:p>
      <w:pPr>
        <w:pStyle w:val="FirstParagraph"/>
      </w:pPr>
      <w:r>
        <w:t xml:space="preserve">У технологічному огляді 1999 року наведено мінімальне вилучення крохмалю близько 95%, а для оптимізованого поєднання тертя, декантування та просіювання — 97–98%. Там само описано зниження потреби у свіжій воді до 0.4–0.5 м³ на тонну переробленої картоплі за раннього відокремлення фруктового соку та ефективнішої схеми потоків.</w:t>
      </w:r>
      <w:r>
        <w:t xml:space="preserve"> </w:t>
      </w:r>
      <w:hyperlink w:anchor="ref-bergthaller1999">
        <w:r>
          <w:rPr>
            <w:rStyle w:val="Hyperlink"/>
          </w:rPr>
          <w:t xml:space="preserve">[1]</w:t>
        </w:r>
      </w:hyperlink>
    </w:p>
    <w:p>
      <w:pPr>
        <w:pStyle w:val="BodyText"/>
      </w:pPr>
      <w:r>
        <w:t xml:space="preserve">Інша публікація про батареї малих гідроциклонів наводить споживання свіжої води 300–350 л/т картоплі для конкретної схеми виділення й очищення крохмалю. Її показник не слід прямо зіставляти з 0,4–0,5 м³/т з огляду 1999 року без урахування меж балансу води, конструкції та умов виробництва.</w:t>
      </w:r>
      <w:r>
        <w:t xml:space="preserve"> </w:t>
      </w:r>
      <w:hyperlink w:anchor="ref-bergthaller1999">
        <w:r>
          <w:rPr>
            <w:rStyle w:val="Hyperlink"/>
          </w:rPr>
          <w:t xml:space="preserve">[1]</w:t>
        </w:r>
      </w:hyperlink>
      <w:r>
        <w:t xml:space="preserve">,</w:t>
      </w:r>
      <w:r>
        <w:t xml:space="preserve"> </w:t>
      </w:r>
      <w:hyperlink w:anchor="ref-fecske1983">
        <w:r>
          <w:rPr>
            <w:rStyle w:val="Hyperlink"/>
          </w:rPr>
          <w:t xml:space="preserve">[6]</w:t>
        </w:r>
      </w:hyperlink>
    </w:p>
    <w:p>
      <w:pPr>
        <w:pStyle w:val="Heading2"/>
      </w:pPr>
      <w:r>
        <w:t xml:space="preserve">2. Що показують дослідження обладнання та процесів</w:t>
      </w:r>
    </w:p>
    <w:p>
      <w:pPr>
        <w:pStyle w:val="Heading3"/>
      </w:pPr>
      <w:r>
        <w:t xml:space="preserve">Гідроциклонні установки — ключовий вузол очищення</w:t>
      </w:r>
    </w:p>
    <w:p>
      <w:pPr>
        <w:pStyle w:val="FirstParagraph"/>
      </w:pPr>
      <w:r>
        <w:t xml:space="preserve">Гідроциклони використовують для класифікації крохмалю й волокна та промивання залишкових розчинних компонентів; промислові батареї можуть мати від 6 до 20 ступенів. Параметри апаратів і конфігурацію батареї добирають з огляду на ефективність розділення, втрати продукту, перепад тиску, зношування та експлуатаційні витрати.</w:t>
      </w:r>
      <w:r>
        <w:t xml:space="preserve"> </w:t>
      </w:r>
      <w:hyperlink w:anchor="ref-grommers2004">
        <w:r>
          <w:rPr>
            <w:rStyle w:val="Hyperlink"/>
          </w:rPr>
          <w:t xml:space="preserve">[8]</w:t>
        </w:r>
      </w:hyperlink>
    </w:p>
    <w:p>
      <w:pPr>
        <w:pStyle w:val="BodyText"/>
      </w:pPr>
      <w:r>
        <w:t xml:space="preserve">У дослідженні 2016 року запропоновано замінити окремий гідроциклонний вузол перехресним з’єднанням кількох мультициклонів. Автори описують багатоступеневу установку з 12 мультициклонами замість 15 та стверджують, що змінена схема може знизити капітальні й операційні витрати; у джерелі також зазначено лінії переробки картоплі продуктивністю 10 і 50 т/добу сировини. Це результат конкретного технічного рішення, а не універсальна перевага для всіх ліній.</w:t>
      </w:r>
      <w:r>
        <w:t xml:space="preserve"> </w:t>
      </w:r>
      <w:hyperlink w:anchor="ref-andreev2016">
        <w:r>
          <w:rPr>
            <w:rStyle w:val="Hyperlink"/>
          </w:rPr>
          <w:t xml:space="preserve">[3]</w:t>
        </w:r>
      </w:hyperlink>
    </w:p>
    <w:p>
      <w:pPr>
        <w:pStyle w:val="Heading3"/>
      </w:pPr>
      <w:r>
        <w:t xml:space="preserve">Альтернативні й маломасштабні рішення вилучення крохмалю</w:t>
      </w:r>
    </w:p>
    <w:p>
      <w:pPr>
        <w:pStyle w:val="FirstParagraph"/>
      </w:pPr>
      <w:r>
        <w:t xml:space="preserve">Дослідження 2021 року розглядало маловитратну схему для фермерського/невеликого виробництва: подрібнення картоплі, фільтрування суспензії, осадження, повторне промивання й сушіння. Для чотирьох сортів картоплі автори повідомили вихід 11,48–16,51% і розрахункову собівартість 0,61 дол. США за кілограм крохмалю в умовах дослідження. Ці значення описують конкретну маломасштабну технологію й сортову сировину, тому не є порівнюваними з показниками вилучення на заводській лінії.</w:t>
      </w:r>
      <w:r>
        <w:t xml:space="preserve"> </w:t>
      </w:r>
      <w:hyperlink w:anchor="ref-singh2021">
        <w:r>
          <w:rPr>
            <w:rStyle w:val="Hyperlink"/>
          </w:rPr>
          <w:t xml:space="preserve">[9]</w:t>
        </w:r>
      </w:hyperlink>
    </w:p>
    <w:p>
      <w:pPr>
        <w:pStyle w:val="BodyText"/>
      </w:pPr>
      <w:r>
        <w:t xml:space="preserve">Інше лабораторне дослідження порівнювало фізичні, хімічні й ферментативні методи ізоляції. Комбінована обробка дала повідомлений вихід 12,4% та чистоту 87,3%, поряд зі змінами білизни та функціональних властивостей крохмалю. Практичний висновок для апаратурної частини — режим подрібнення/відділення потрібно оцінювати не тільки за масовим виходом, а й за чистотою та характеристиками продукту; однак результат не підтверджує готовність методу до безпосереднього масштабування.</w:t>
      </w:r>
      <w:r>
        <w:t xml:space="preserve"> </w:t>
      </w:r>
      <w:hyperlink w:anchor="ref-neeraj2021">
        <w:r>
          <w:rPr>
            <w:rStyle w:val="Hyperlink"/>
          </w:rPr>
          <w:t xml:space="preserve">[10]</w:t>
        </w:r>
      </w:hyperlink>
    </w:p>
    <w:p>
      <w:pPr>
        <w:pStyle w:val="BodyText"/>
      </w:pPr>
      <w:r>
        <w:t xml:space="preserve">У роботі 2025 року вивчали екстракцію з кубиків картоплі в нерухомому, розширеному та псевдозрідженому шарах. Найвищий наведений вихід становив 63% у псевдозрідженому шарі за 50 °C і витрати води 6 см³/с; за нижчих температур і в нерухомому шарі повідомлено 30–37%. Це експериментальна система тверде тіло–рідина, а не підтверджений промисловий спосіб виробництва нативного крохмалю; значення не можна зіставляти з виходами для традиційних ліній без однакових визначень виходу та бази розрахунку.</w:t>
      </w:r>
      <w:r>
        <w:t xml:space="preserve"> </w:t>
      </w:r>
      <w:hyperlink w:anchor="ref-seif2025">
        <w:r>
          <w:rPr>
            <w:rStyle w:val="Hyperlink"/>
          </w:rPr>
          <w:t xml:space="preserve">[11]</w:t>
        </w:r>
      </w:hyperlink>
    </w:p>
    <w:p>
      <w:pPr>
        <w:pStyle w:val="Heading3"/>
      </w:pPr>
      <w:r>
        <w:t xml:space="preserve">Обробка відходів, побічних продуктів і води</w:t>
      </w:r>
    </w:p>
    <w:p>
      <w:pPr>
        <w:pStyle w:val="FirstParagraph"/>
      </w:pPr>
      <w:r>
        <w:t xml:space="preserve">У заводському процесі разом із крохмалем можуть вилучати білок і волокно. Після відділення білка картопляний фруктовий сік може концентруватися випарюванням; випарювання енергоємне, тому досліджують нанофільтрацію як попередній ступінь. У роботі 2025 року для мембрани-кандидата наведено середній потік 28 л/(м²·год) і зменшення об’єму соку на 53%; утримання сухих речовин, загального азоту й Brix становило 83–89%. Оцінка окупності 2.3 року є техніко-економічним розрахунком, а не свідченням уже досягнутої окупності на діючому підприємстві.</w:t>
      </w:r>
      <w:r>
        <w:t xml:space="preserve"> </w:t>
      </w:r>
      <w:hyperlink w:anchor="ref-sjlin2025">
        <w:r>
          <w:rPr>
            <w:rStyle w:val="Hyperlink"/>
          </w:rPr>
          <w:t xml:space="preserve">[4]</w:t>
        </w:r>
      </w:hyperlink>
    </w:p>
    <w:p>
      <w:pPr>
        <w:pStyle w:val="BodyText"/>
      </w:pPr>
      <w:r>
        <w:t xml:space="preserve">Лабораторне дослідження інтегрованої ультра- та нанофільтрації стічної води картоплепереробки повідомило про вилучення 97–99% завислих речовин і каламутності після попередньої обробки, а також близько 80% відновлення води на етапі NF. Це підтримує напрям повторного використання води, але джерело описує лабораторну мембранну систему, а не замкнений водний цикл великого заводу.</w:t>
      </w:r>
      <w:r>
        <w:t xml:space="preserve"> </w:t>
      </w:r>
      <w:hyperlink w:anchor="ref-rajewska2023">
        <w:r>
          <w:rPr>
            <w:rStyle w:val="Hyperlink"/>
          </w:rPr>
          <w:t xml:space="preserve">[5]</w:t>
        </w:r>
      </w:hyperlink>
    </w:p>
    <w:p>
      <w:pPr>
        <w:pStyle w:val="BodyText"/>
      </w:pPr>
      <w:r>
        <w:t xml:space="preserve">Для відновлення білка зі стічного потоку досліджували попереднє осадження/центрифугування/мікрофільтрацію перед ультрафільтрацією: комбінація попередніх операцій зменшила забруднення UF-мембрани на 30% відносно тиску трансмембранного процесу, а порівняно з одним лише центрифугуванням повідомлено про поліпшення контролю забруднення на 72%. Це підкреслює, що мембранний вузол необхідно проєктувати разом із попередньою обробкою та регенерацією мембран.</w:t>
      </w:r>
      <w:r>
        <w:t xml:space="preserve"> </w:t>
      </w:r>
      <w:hyperlink w:anchor="ref-dabestani2017">
        <w:r>
          <w:rPr>
            <w:rStyle w:val="Hyperlink"/>
          </w:rPr>
          <w:t xml:space="preserve">[12]</w:t>
        </w:r>
      </w:hyperlink>
    </w:p>
    <w:p>
      <w:pPr>
        <w:pStyle w:val="Heading2"/>
      </w:pPr>
      <w:r>
        <w:t xml:space="preserve">3. Тренди та обмеження доказів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Інтеграція операцій важливіша за ізольоване вдосконалення апарата.</w:t>
      </w:r>
      <w:r>
        <w:t xml:space="preserve"> </w:t>
      </w:r>
      <w:r>
        <w:t xml:space="preserve">Дані про вилучення й водоспоживання пов’язують ефективність із поєднанням подрібнення, декантування, просіювання та промивання, а дослідження мультициклонів — із розподілом потоків між ступенями.</w:t>
      </w:r>
      <w:r>
        <w:t xml:space="preserve"> </w:t>
      </w:r>
      <w:hyperlink w:anchor="ref-bergthaller1999">
        <w:r>
          <w:rPr>
            <w:rStyle w:val="Hyperlink"/>
          </w:rPr>
          <w:t xml:space="preserve">[1]</w:t>
        </w:r>
      </w:hyperlink>
      <w:r>
        <w:t xml:space="preserve">,</w:t>
      </w:r>
      <w:r>
        <w:t xml:space="preserve"> </w:t>
      </w:r>
      <w:hyperlink w:anchor="ref-andreev2016">
        <w:r>
          <w:rPr>
            <w:rStyle w:val="Hyperlink"/>
          </w:rPr>
          <w:t xml:space="preserve">[3]</w:t>
        </w:r>
      </w:hyperlink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Ресурсоефективність стає окремою метою проєктування.</w:t>
      </w:r>
      <w:r>
        <w:t xml:space="preserve"> </w:t>
      </w:r>
      <w:r>
        <w:t xml:space="preserve">Вода й енергія, якість крохмалю, повернення білка/клітковини та переробка фруктового соку дедалі частіше розглядаються як спільна задача матеріального балансу. Мембрани мають потенціал, але забруднення і потреба в очищенні залишаються суттєвими інженерними обмеженнями.</w:t>
      </w:r>
      <w:r>
        <w:t xml:space="preserve"> </w:t>
      </w:r>
      <w:hyperlink w:anchor="ref-sjlin2025">
        <w:r>
          <w:rPr>
            <w:rStyle w:val="Hyperlink"/>
          </w:rPr>
          <w:t xml:space="preserve">[4]</w:t>
        </w:r>
      </w:hyperlink>
      <w:r>
        <w:t xml:space="preserve">,</w:t>
      </w:r>
      <w:r>
        <w:t xml:space="preserve"> </w:t>
      </w:r>
      <w:hyperlink w:anchor="ref-li2020">
        <w:r>
          <w:rPr>
            <w:rStyle w:val="Hyperlink"/>
          </w:rPr>
          <w:t xml:space="preserve">[13]</w:t>
        </w:r>
      </w:hyperlink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Невеликі установки адресують інші умови, ніж заводські лінії.</w:t>
      </w:r>
      <w:r>
        <w:t xml:space="preserve"> </w:t>
      </w:r>
      <w:r>
        <w:t xml:space="preserve">Маломасштабні рішення можуть бути придатними для локальної переробки, але їх виходи, собівартість і чистота не слід прямо переносити на безперервні промислові лінії.</w:t>
      </w:r>
      <w:r>
        <w:t xml:space="preserve"> </w:t>
      </w:r>
      <w:hyperlink w:anchor="ref-bergthaller1999">
        <w:r>
          <w:rPr>
            <w:rStyle w:val="Hyperlink"/>
          </w:rPr>
          <w:t xml:space="preserve">[1]</w:t>
        </w:r>
      </w:hyperlink>
      <w:r>
        <w:t xml:space="preserve">,</w:t>
      </w:r>
      <w:r>
        <w:t xml:space="preserve"> </w:t>
      </w:r>
      <w:hyperlink w:anchor="ref-singh2021">
        <w:r>
          <w:rPr>
            <w:rStyle w:val="Hyperlink"/>
          </w:rPr>
          <w:t xml:space="preserve">[9]</w:t>
        </w:r>
      </w:hyperlink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Докази про інновації нерівномірні.</w:t>
      </w:r>
      <w:r>
        <w:t xml:space="preserve"> </w:t>
      </w:r>
      <w:r>
        <w:t xml:space="preserve">Наприклад, публікація 2023 року описує проєкт машини для прискорення вимочування/вилуговування картоплі, але доступний абстракт формулює очікувані переваги проєкту й не надає переконливих промислових даних валідації. Її варто згадувати як концептуальну розробку, а не як доведену заміну промисловій лінії.</w:t>
      </w:r>
      <w:r>
        <w:t xml:space="preserve"> </w:t>
      </w:r>
      <w:hyperlink w:anchor="ref-cardenas2023">
        <w:r>
          <w:rPr>
            <w:rStyle w:val="Hyperlink"/>
          </w:rPr>
          <w:t xml:space="preserve">[14]</w:t>
        </w:r>
      </w:hyperlink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Потрібно відокремлювати картопляний крохмаль від крохмалю батату.</w:t>
      </w:r>
      <w:r>
        <w:t xml:space="preserve"> </w:t>
      </w:r>
      <w:r>
        <w:t xml:space="preserve">Дослідження резервуара осадження для батату показало скорочення часу осадження на 12 годин у виробничих умовах, але воно не є прямим випробуванням на звичайній картоплі; його можна використати лише як аналог для формування гіпотези про обладнання.</w:t>
      </w:r>
      <w:r>
        <w:t xml:space="preserve"> </w:t>
      </w:r>
      <w:hyperlink w:anchor="ref-wang2020">
        <w:r>
          <w:rPr>
            <w:rStyle w:val="Hyperlink"/>
          </w:rPr>
          <w:t xml:space="preserve">[15]</w:t>
        </w:r>
      </w:hyperlink>
    </w:p>
    <w:p>
      <w:pPr>
        <w:pStyle w:val="Heading2"/>
      </w:pPr>
      <w:r>
        <w:t xml:space="preserve">4. Перспективні питання для дипломної/магістерської роботи</w:t>
      </w:r>
    </w:p>
    <w:p>
      <w:pPr>
        <w:pStyle w:val="Compact"/>
        <w:numPr>
          <w:ilvl w:val="0"/>
          <w:numId w:val="1002"/>
        </w:numPr>
      </w:pPr>
      <w:r>
        <w:t xml:space="preserve">Побудувати матеріальний і водний баланси для конкретної продуктивності та сорту сировини, з окремим обліком крохмалю у волокні, стоках і промивних водах.</w:t>
      </w:r>
    </w:p>
    <w:p>
      <w:pPr>
        <w:pStyle w:val="Compact"/>
        <w:numPr>
          <w:ilvl w:val="0"/>
          <w:numId w:val="1002"/>
        </w:numPr>
      </w:pPr>
      <w:r>
        <w:t xml:space="preserve">Порівняти альтернативи вузла подрібнення та первинного відділення за виходом, чистотою, питомими витратами води й енергії, а також втратами крохмалю.</w:t>
      </w:r>
    </w:p>
    <w:p>
      <w:pPr>
        <w:pStyle w:val="Compact"/>
        <w:numPr>
          <w:ilvl w:val="0"/>
          <w:numId w:val="1002"/>
        </w:numPr>
      </w:pPr>
      <w:r>
        <w:t xml:space="preserve">Оптимізувати число ступенів і схему з’єднання гідроциклонів із вимірюванням виходу, якості продукту, перепаду тиску й водоспоживання.</w:t>
      </w:r>
    </w:p>
    <w:p>
      <w:pPr>
        <w:pStyle w:val="Compact"/>
        <w:numPr>
          <w:ilvl w:val="0"/>
          <w:numId w:val="1002"/>
        </w:numPr>
      </w:pPr>
      <w:r>
        <w:t xml:space="preserve">Оцінити попереднє відділення білка та мембранне концентрування фруктового соку через техніко-економічний аналіз, включно з мембранним забрудненням, хімічним очищенням і ресурсом мембран.</w:t>
      </w:r>
    </w:p>
    <w:p>
      <w:pPr>
        <w:pStyle w:val="Compact"/>
        <w:numPr>
          <w:ilvl w:val="0"/>
          <w:numId w:val="1002"/>
        </w:numPr>
      </w:pPr>
      <w:r>
        <w:t xml:space="preserve">Валідувати лабораторні або маломасштабні рішення на пілотній установці та порівнювати їх із заводською базовою схемою за однаковими визначеннями виходу й межами системи.</w:t>
      </w:r>
    </w:p>
    <w:p>
      <w:pPr>
        <w:pStyle w:val="Heading2"/>
      </w:pPr>
      <w:r>
        <w:t xml:space="preserve">5. Добірка релевантних публікацій</w:t>
      </w:r>
    </w:p>
    <w:p>
      <w:pPr>
        <w:pStyle w:val="FirstParagraph"/>
      </w:pPr>
      <w:r>
        <w:t xml:space="preserve">Наведені нижче роботи відібрано як джерела для огляду процесу й обладнання; авторські висновки вище обмежено тим, що прямо зазначено в доступних записах/анотаціях.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Bergthaller, Witt &amp; Goldau (1999), “Potato starch technology”.</w:t>
      </w:r>
      <w:r>
        <w:t xml:space="preserve"> </w:t>
      </w:r>
      <w:r>
        <w:t xml:space="preserve">Огляд промислових змін, вилучення крохмалю, очищення, витрат води та відновлення білка.</w:t>
      </w:r>
      <w:r>
        <w:t xml:space="preserve"> </w:t>
      </w:r>
      <w:hyperlink w:anchor="ref-bergthaller1999">
        <w:r>
          <w:rPr>
            <w:rStyle w:val="Hyperlink"/>
          </w:rPr>
          <w:t xml:space="preserve">[1]</w:t>
        </w:r>
      </w:hyperlink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Holthuis (1972), “Erfahrungen mit bekannten und neuentwickelten Maschinen in der Kartoffelstärkeindustrie” [«Досвід роботи з відомими та новими машинами у промисловості картопляного крохмалю»].</w:t>
      </w:r>
      <w:r>
        <w:t xml:space="preserve"> </w:t>
      </w:r>
      <w:r>
        <w:t xml:space="preserve">Опис обладнання для приймання/миття, терок, сит, декантерів, вакуум-фільтрів і пресів.</w:t>
      </w:r>
      <w:r>
        <w:t xml:space="preserve"> </w:t>
      </w:r>
      <w:hyperlink w:anchor="ref-holthuis1972">
        <w:r>
          <w:rPr>
            <w:rStyle w:val="Hyperlink"/>
          </w:rPr>
          <w:t xml:space="preserve">[2]</w:t>
        </w:r>
      </w:hyperlink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Fecske (1983), “Small Diameter Multiple Hydrocyclone for Starch Processing”.</w:t>
      </w:r>
      <w:r>
        <w:t xml:space="preserve"> </w:t>
      </w:r>
      <w:r>
        <w:t xml:space="preserve">Конструкція мультициклонів і приклад низьководної схеми для картопляного крохмалю.</w:t>
      </w:r>
      <w:r>
        <w:t xml:space="preserve"> </w:t>
      </w:r>
      <w:hyperlink w:anchor="ref-fecske1983">
        <w:r>
          <w:rPr>
            <w:rStyle w:val="Hyperlink"/>
          </w:rPr>
          <w:t xml:space="preserve">[6]</w:t>
        </w:r>
      </w:hyperlink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Andreev et al. (2016), “Improvement of hydrocyclone installations for starch production lines”.</w:t>
      </w:r>
      <w:r>
        <w:t xml:space="preserve"> </w:t>
      </w:r>
      <w:r>
        <w:t xml:space="preserve">Оптимізація гідроциклонної батареї та схеми ступенів.</w:t>
      </w:r>
      <w:r>
        <w:t xml:space="preserve"> </w:t>
      </w:r>
      <w:hyperlink w:anchor="ref-andreev2016">
        <w:r>
          <w:rPr>
            <w:rStyle w:val="Hyperlink"/>
          </w:rPr>
          <w:t xml:space="preserve">[3]</w:t>
        </w:r>
      </w:hyperlink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Singh et al. (2021), “A cost effective technology for isolation of potato starch and its utilization…”.</w:t>
      </w:r>
      <w:r>
        <w:t xml:space="preserve"> </w:t>
      </w:r>
      <w:r>
        <w:t xml:space="preserve">Маломасштабна ізоляція крохмалю та економічні показники для конкретної сировини.</w:t>
      </w:r>
      <w:r>
        <w:t xml:space="preserve"> </w:t>
      </w:r>
      <w:hyperlink w:anchor="ref-singh2021">
        <w:r>
          <w:rPr>
            <w:rStyle w:val="Hyperlink"/>
          </w:rPr>
          <w:t xml:space="preserve">[9]</w:t>
        </w:r>
      </w:hyperlink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Neeraj et al. (2021), “Physicochemical, morphological, functional, and pasting properties of potato starch as a function of extraction methods”.</w:t>
      </w:r>
      <w:r>
        <w:t xml:space="preserve"> </w:t>
      </w:r>
      <w:r>
        <w:t xml:space="preserve">Вплив методів екстракції на вихід і якість продукту.</w:t>
      </w:r>
      <w:r>
        <w:t xml:space="preserve"> </w:t>
      </w:r>
      <w:hyperlink w:anchor="ref-neeraj2021">
        <w:r>
          <w:rPr>
            <w:rStyle w:val="Hyperlink"/>
          </w:rPr>
          <w:t xml:space="preserve">[10]</w:t>
        </w:r>
      </w:hyperlink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Raymundo Cardenas et al. (2023), “Design of a Machine for the Optimization of the Potato Leaching Process to Produce Potato Starch”.</w:t>
      </w:r>
      <w:r>
        <w:t xml:space="preserve"> </w:t>
      </w:r>
      <w:r>
        <w:t xml:space="preserve">Концептуальна механізована система; промислова валідація за доступною анотацією не підтверджена.</w:t>
      </w:r>
      <w:r>
        <w:t xml:space="preserve"> </w:t>
      </w:r>
      <w:hyperlink w:anchor="ref-cardenas2023">
        <w:r>
          <w:rPr>
            <w:rStyle w:val="Hyperlink"/>
          </w:rPr>
          <w:t xml:space="preserve">[14]</w:t>
        </w:r>
      </w:hyperlink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Rajewska et al. (2023), “Integration of Ultra- and Nanofiltration for Potato Processing Water Treatment in a Circular Water Recovery System”.</w:t>
      </w:r>
      <w:r>
        <w:t xml:space="preserve"> </w:t>
      </w:r>
      <w:r>
        <w:t xml:space="preserve">Лабораторне вивчення UF/NF для повернення води.</w:t>
      </w:r>
      <w:r>
        <w:t xml:space="preserve"> </w:t>
      </w:r>
      <w:hyperlink w:anchor="ref-rajewska2023">
        <w:r>
          <w:rPr>
            <w:rStyle w:val="Hyperlink"/>
          </w:rPr>
          <w:t xml:space="preserve">[5]</w:t>
        </w:r>
      </w:hyperlink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Sjölin et al. (2025), “Concentration of Potato Fruit Juice From the Starch Industry Using Nanofiltration Membranes…”.</w:t>
      </w:r>
      <w:r>
        <w:t xml:space="preserve"> </w:t>
      </w:r>
      <w:r>
        <w:t xml:space="preserve">Нанофільтрація як попередній етап перед випарюванням фруктового соку.</w:t>
      </w:r>
      <w:r>
        <w:t xml:space="preserve"> </w:t>
      </w:r>
      <w:hyperlink w:anchor="ref-sjlin2025">
        <w:r>
          <w:rPr>
            <w:rStyle w:val="Hyperlink"/>
          </w:rPr>
          <w:t xml:space="preserve">[4]</w:t>
        </w:r>
      </w:hyperlink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Seif, Abbasi Souraki &amp; Sayyad Amin (2025), “Experimental investigation and mathematical modeling of starch extraction from fixed, expanded and fluidized beds of potatoes”.</w:t>
      </w:r>
      <w:r>
        <w:t xml:space="preserve"> </w:t>
      </w:r>
      <w:r>
        <w:t xml:space="preserve">Експериментальна екстракція в шарах та математичне моделювання.</w:t>
      </w:r>
      <w:r>
        <w:t xml:space="preserve"> </w:t>
      </w:r>
      <w:hyperlink w:anchor="ref-seif2025">
        <w:r>
          <w:rPr>
            <w:rStyle w:val="Hyperlink"/>
          </w:rPr>
          <w:t xml:space="preserve">[11]</w:t>
        </w:r>
      </w:hyperlink>
    </w:p>
    <w:p>
      <w:pPr>
        <w:pStyle w:val="Heading2"/>
      </w:pPr>
      <w:r>
        <w:t xml:space="preserve">Метод пошуку та межі огляду</w:t>
      </w:r>
    </w:p>
    <w:p>
      <w:pPr>
        <w:pStyle w:val="FirstParagraph"/>
      </w:pPr>
      <w:r>
        <w:t xml:space="preserve">Пошук проведено 18 жовтня 2026 року в доступних академічних базах Semantic Scholar, OpenAlex і PubMed за англійськими та українськими формулюваннями про технологію виробництва картопляного крохмалю, обладнання, гідроциклони, екстракцію, водо- й енергозбереження та переробку побічних потоків. Було виконано три тематичні пошукові запуски; кожен повернув до 100 відібраних записів, а результати перетиналися. Тому їх не слід додавати як кількість унікальних праць. Для цієї синтези відібрано джерела, які прямо стосуються процесу або апаратури; аналогічні праці про батат позначено окремо.</w:t>
      </w:r>
    </w:p>
    <w:p>
      <w:pPr>
        <w:pStyle w:val="BodyText"/>
      </w:pPr>
      <w:r>
        <w:t xml:space="preserve">Доступні матеріали в цьому пошуку були анотаціями або уривками; повні тексти статей не були завантажені. Отже, докладні конструктивні параметри, повні експериментальні протоколи та повноту бібліографії за анотаціями перевірити не можна. В одному з пошукових запусків також не спрацювало додаткове лексичне планування запитів, хоча семантичний пошук продовжився. Цей огляд є цільовим добором, а не вичерпним систематичним оглядом.</w:t>
      </w:r>
    </w:p>
    <w:p>
      <w:pPr>
        <w:pStyle w:val="Heading2"/>
      </w:pPr>
      <w:r>
        <w:t xml:space="preserve">References</w:t>
      </w:r>
    </w:p>
    <w:bookmarkStart w:id="39" w:name="refs"/>
    <w:bookmarkStart w:id="10" w:name="ref-bergthaller1999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W. Bergthaller, W. Witt, and H.-P. Goldau,</w:t>
      </w:r>
      <w:r>
        <w:t xml:space="preserve"> </w:t>
      </w:r>
      <w:r>
        <w:t xml:space="preserve">“Potato starch technology,”</w:t>
      </w:r>
      <w:r>
        <w:t xml:space="preserve"> </w:t>
      </w:r>
      <w:r>
        <w:rPr>
          <w:i/>
          <w:iCs/>
        </w:rPr>
        <w:t xml:space="preserve">Starch - Stärke</w:t>
      </w:r>
      <w:r>
        <w:t xml:space="preserve">, 1999, doi:</w:t>
      </w:r>
      <w:r>
        <w:t xml:space="preserve"> </w:t>
      </w:r>
      <w:hyperlink r:id="rId9">
        <w:r>
          <w:rPr>
            <w:rStyle w:val="Hyperlink"/>
          </w:rPr>
          <w:t xml:space="preserve">10.1002/(sici)1521-379x(199907)51:7&lt;235::aid-star235&gt;3.0.co;2-7</w:t>
        </w:r>
      </w:hyperlink>
      <w:r>
        <w:t xml:space="preserve">.</w:t>
      </w:r>
    </w:p>
    <w:bookmarkEnd w:id="10"/>
    <w:bookmarkStart w:id="12" w:name="ref-holthuis1972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Th. H. Holthuis,</w:t>
      </w:r>
      <w:r>
        <w:t xml:space="preserve"> </w:t>
      </w:r>
      <w:r>
        <w:t xml:space="preserve">“Erfahrungen mit bekannten und neuentwickelten maschinen in der kartoffelstärkeindustrie,”</w:t>
      </w:r>
      <w:r>
        <w:t xml:space="preserve"> </w:t>
      </w:r>
      <w:r>
        <w:rPr>
          <w:i/>
          <w:iCs/>
        </w:rPr>
        <w:t xml:space="preserve">Starch - Stärke</w:t>
      </w:r>
      <w:r>
        <w:t xml:space="preserve">, 1972, doi:</w:t>
      </w:r>
      <w:r>
        <w:t xml:space="preserve"> </w:t>
      </w:r>
      <w:hyperlink r:id="rId11">
        <w:r>
          <w:rPr>
            <w:rStyle w:val="Hyperlink"/>
          </w:rPr>
          <w:t xml:space="preserve">10.1002/star.19720240408</w:t>
        </w:r>
      </w:hyperlink>
      <w:r>
        <w:t xml:space="preserve">.</w:t>
      </w:r>
    </w:p>
    <w:bookmarkEnd w:id="12"/>
    <w:bookmarkStart w:id="14" w:name="ref-andreev2016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N. R. Andreev, D. N. Lukin, Y. A. Kholmyanskii, and T. P. Karpenko,</w:t>
      </w:r>
      <w:r>
        <w:t xml:space="preserve"> </w:t>
      </w:r>
      <w:r>
        <w:t xml:space="preserve">“Improvement of hydrocyclone installations for starch production lines,”</w:t>
      </w:r>
      <w:r>
        <w:t xml:space="preserve"> </w:t>
      </w:r>
      <w:r>
        <w:rPr>
          <w:i/>
          <w:iCs/>
        </w:rPr>
        <w:t xml:space="preserve">Proceedings of the Voronezh State University of Engineering Technologies</w:t>
      </w:r>
      <w:r>
        <w:t xml:space="preserve">, 2016, doi:</w:t>
      </w:r>
      <w:r>
        <w:t xml:space="preserve"> </w:t>
      </w:r>
      <w:hyperlink r:id="rId13">
        <w:r>
          <w:rPr>
            <w:rStyle w:val="Hyperlink"/>
          </w:rPr>
          <w:t xml:space="preserve">10.20914/2310-1202-2016-3-36</w:t>
        </w:r>
      </w:hyperlink>
      <w:r>
        <w:t xml:space="preserve">.</w:t>
      </w:r>
    </w:p>
    <w:bookmarkEnd w:id="14"/>
    <w:bookmarkStart w:id="16" w:name="ref-sjlin2025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M. Sjölin, P. T. Rajeevalochana, R. Ramesh, K. Johansson, F. Lipnizki, and J. Thuvander,</w:t>
      </w:r>
      <w:r>
        <w:t xml:space="preserve"> </w:t>
      </w:r>
      <w:r>
        <w:t xml:space="preserve">“Concentration of potato fruit juice from the starch industry using nanofiltration membranes as pretreatment process upstream an evaporator for energy savings,”</w:t>
      </w:r>
      <w:r>
        <w:t xml:space="preserve"> </w:t>
      </w:r>
      <w:r>
        <w:rPr>
          <w:i/>
          <w:iCs/>
        </w:rPr>
        <w:t xml:space="preserve">Starke (Weinheim)</w:t>
      </w:r>
      <w:r>
        <w:t xml:space="preserve">, 2025, doi:</w:t>
      </w:r>
      <w:r>
        <w:t xml:space="preserve"> </w:t>
      </w:r>
      <w:hyperlink r:id="rId15">
        <w:r>
          <w:rPr>
            <w:rStyle w:val="Hyperlink"/>
          </w:rPr>
          <w:t xml:space="preserve">10.1002/star.70019</w:t>
        </w:r>
      </w:hyperlink>
      <w:r>
        <w:t xml:space="preserve">.</w:t>
      </w:r>
    </w:p>
    <w:bookmarkEnd w:id="16"/>
    <w:bookmarkStart w:id="18" w:name="ref-rajewska2023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P. Rajewska, J. Janiszewska, and J. Rajewski,</w:t>
      </w:r>
      <w:r>
        <w:t xml:space="preserve"> </w:t>
      </w:r>
      <w:r>
        <w:t xml:space="preserve">“Integration of ultra- and nanofiltration for potato processing water (PPW) treatment in a circular water recovery system,”</w:t>
      </w:r>
      <w:r>
        <w:t xml:space="preserve"> </w:t>
      </w:r>
      <w:r>
        <w:rPr>
          <w:i/>
          <w:iCs/>
        </w:rPr>
        <w:t xml:space="preserve">Membranes</w:t>
      </w:r>
      <w:r>
        <w:t xml:space="preserve">, 2023, doi:</w:t>
      </w:r>
      <w:r>
        <w:t xml:space="preserve"> </w:t>
      </w:r>
      <w:hyperlink r:id="rId17">
        <w:r>
          <w:rPr>
            <w:rStyle w:val="Hyperlink"/>
          </w:rPr>
          <w:t xml:space="preserve">10.3390/membranes13010059</w:t>
        </w:r>
      </w:hyperlink>
      <w:r>
        <w:t xml:space="preserve">.</w:t>
      </w:r>
    </w:p>
    <w:bookmarkEnd w:id="18"/>
    <w:bookmarkStart w:id="20" w:name="ref-fecske1983"/>
    <w:p>
      <w:pPr>
        <w:pStyle w:val="Bibliography"/>
      </w:pPr>
      <w:r>
        <w:t xml:space="preserve">[6]</w:t>
      </w:r>
      <w:r>
        <w:t xml:space="preserve"> </w:t>
      </w:r>
      <w:r>
        <w:t xml:space="preserve">	</w:t>
      </w:r>
      <w:r>
        <w:t xml:space="preserve">A. Fecske,</w:t>
      </w:r>
      <w:r>
        <w:t xml:space="preserve"> </w:t>
      </w:r>
      <w:r>
        <w:t xml:space="preserve">“Small diameter multiple hydrocyclone for starch processing,”</w:t>
      </w:r>
      <w:r>
        <w:t xml:space="preserve"> </w:t>
      </w:r>
      <w:r>
        <w:rPr>
          <w:i/>
          <w:iCs/>
        </w:rPr>
        <w:t xml:space="preserve">Starch - Stärke</w:t>
      </w:r>
      <w:r>
        <w:t xml:space="preserve">, 1983, doi:</w:t>
      </w:r>
      <w:r>
        <w:t xml:space="preserve"> </w:t>
      </w:r>
      <w:hyperlink r:id="rId19">
        <w:r>
          <w:rPr>
            <w:rStyle w:val="Hyperlink"/>
          </w:rPr>
          <w:t xml:space="preserve">10.1002/star.19830350402</w:t>
        </w:r>
      </w:hyperlink>
      <w:r>
        <w:t xml:space="preserve">.</w:t>
      </w:r>
    </w:p>
    <w:bookmarkEnd w:id="20"/>
    <w:bookmarkStart w:id="22" w:name="ref-jinwei2009"/>
    <w:p>
      <w:pPr>
        <w:pStyle w:val="Bibliography"/>
      </w:pPr>
      <w:r>
        <w:t xml:space="preserve">[7]</w:t>
      </w:r>
      <w:r>
        <w:t xml:space="preserve"> </w:t>
      </w:r>
      <w:r>
        <w:t xml:space="preserve">	</w:t>
      </w:r>
      <w:r>
        <w:t xml:space="preserve">H. Jin-wei,</w:t>
      </w:r>
      <w:r>
        <w:t xml:space="preserve"> </w:t>
      </w:r>
      <w:r>
        <w:t xml:space="preserve">“Potato starch processing technology and equipment,”</w:t>
      </w:r>
      <w:r>
        <w:t xml:space="preserve"> </w:t>
      </w:r>
      <w:r>
        <w:rPr>
          <w:i/>
          <w:iCs/>
        </w:rPr>
        <w:t xml:space="preserve">Hunan Agricultural Machinery</w:t>
      </w:r>
      <w:r>
        <w:t xml:space="preserve">, 2009, Available:</w:t>
      </w:r>
      <w:r>
        <w:t xml:space="preserve"> </w:t>
      </w:r>
      <w:hyperlink r:id="rId21">
        <w:r>
          <w:rPr>
            <w:rStyle w:val="Hyperlink"/>
          </w:rPr>
          <w:t xml:space="preserve">http://en.cnki.com.cn/Article_en/CJFDTOTAL-HNNJ200907021.htm</w:t>
        </w:r>
      </w:hyperlink>
    </w:p>
    <w:bookmarkEnd w:id="22"/>
    <w:bookmarkStart w:id="24" w:name="ref-grommers2004"/>
    <w:p>
      <w:pPr>
        <w:pStyle w:val="Bibliography"/>
      </w:pPr>
      <w:r>
        <w:t xml:space="preserve">[8]</w:t>
      </w:r>
      <w:r>
        <w:t xml:space="preserve"> </w:t>
      </w:r>
      <w:r>
        <w:t xml:space="preserve">	</w:t>
      </w:r>
      <w:r>
        <w:t xml:space="preserve">H. E. Grommers, J. Krikken, B. H. Bos, and D. A. van der Krogt,</w:t>
      </w:r>
      <w:r>
        <w:t xml:space="preserve"> </w:t>
      </w:r>
      <w:r>
        <w:t xml:space="preserve">“Comparison of small hydrocyclones based on total process costs,”</w:t>
      </w:r>
      <w:r>
        <w:t xml:space="preserve"> </w:t>
      </w:r>
      <w:r>
        <w:rPr>
          <w:i/>
          <w:iCs/>
        </w:rPr>
        <w:t xml:space="preserve">Minerals Engineering</w:t>
      </w:r>
      <w:r>
        <w:t xml:space="preserve">, 2004, doi:</w:t>
      </w:r>
      <w:r>
        <w:t xml:space="preserve"> </w:t>
      </w:r>
      <w:hyperlink r:id="rId23">
        <w:r>
          <w:rPr>
            <w:rStyle w:val="Hyperlink"/>
          </w:rPr>
          <w:t xml:space="preserve">10.1016/j.mineng.2004.01.022</w:t>
        </w:r>
      </w:hyperlink>
      <w:r>
        <w:t xml:space="preserve">.</w:t>
      </w:r>
    </w:p>
    <w:bookmarkEnd w:id="24"/>
    <w:bookmarkStart w:id="26" w:name="ref-singh2021"/>
    <w:p>
      <w:pPr>
        <w:pStyle w:val="Bibliography"/>
      </w:pPr>
      <w:r>
        <w:t xml:space="preserve">[9]</w:t>
      </w:r>
      <w:r>
        <w:t xml:space="preserve"> </w:t>
      </w:r>
      <w:r>
        <w:t xml:space="preserve">	</w:t>
      </w:r>
      <w:r>
        <w:t xml:space="preserve">R. Singh, S. Kaur, and P. Sachdev,</w:t>
      </w:r>
      <w:r>
        <w:t xml:space="preserve"> </w:t>
      </w:r>
      <w:r>
        <w:t xml:space="preserve">“A cost effective technology for isolation of potato starch and its utilization in formulation of ready to cook, non cereal, and non glutinous soup mix,”</w:t>
      </w:r>
      <w:r>
        <w:t xml:space="preserve"> </w:t>
      </w:r>
      <w:r>
        <w:rPr>
          <w:i/>
          <w:iCs/>
        </w:rPr>
        <w:t xml:space="preserve">Journal of Food Measurement &amp; Characterization</w:t>
      </w:r>
      <w:r>
        <w:t xml:space="preserve">, 2021, doi:</w:t>
      </w:r>
      <w:r>
        <w:t xml:space="preserve"> </w:t>
      </w:r>
      <w:hyperlink r:id="rId25">
        <w:r>
          <w:rPr>
            <w:rStyle w:val="Hyperlink"/>
          </w:rPr>
          <w:t xml:space="preserve">10.1007/s11694-021-00887-w</w:t>
        </w:r>
      </w:hyperlink>
      <w:r>
        <w:t xml:space="preserve">.</w:t>
      </w:r>
    </w:p>
    <w:bookmarkEnd w:id="26"/>
    <w:bookmarkStart w:id="28" w:name="ref-neeraj2021"/>
    <w:p>
      <w:pPr>
        <w:pStyle w:val="Bibliography"/>
      </w:pPr>
      <w:r>
        <w:t xml:space="preserve">[10]</w:t>
      </w:r>
      <w:r>
        <w:t xml:space="preserve"> </w:t>
      </w:r>
      <w:r>
        <w:t xml:space="preserve">	</w:t>
      </w:r>
      <w:r>
        <w:t xml:space="preserve">N. D. Neeraj S. Siddiqui,</w:t>
      </w:r>
      <w:r>
        <w:t xml:space="preserve"> </w:t>
      </w:r>
      <w:r>
        <w:t xml:space="preserve">“Physicochemical, morphological, functional, and pasting properties of potato starch as a function of extraction methods,”</w:t>
      </w:r>
      <w:r>
        <w:t xml:space="preserve"> </w:t>
      </w:r>
      <w:r>
        <w:rPr>
          <w:i/>
          <w:iCs/>
        </w:rPr>
        <w:t xml:space="preserve">Journal of Food Measurement &amp; Characterization</w:t>
      </w:r>
      <w:r>
        <w:t xml:space="preserve">, 2021, doi:</w:t>
      </w:r>
      <w:r>
        <w:t xml:space="preserve"> </w:t>
      </w:r>
      <w:hyperlink r:id="rId27">
        <w:r>
          <w:rPr>
            <w:rStyle w:val="Hyperlink"/>
          </w:rPr>
          <w:t xml:space="preserve">10.1007/s11694-021-00862-5</w:t>
        </w:r>
      </w:hyperlink>
      <w:r>
        <w:t xml:space="preserve">.</w:t>
      </w:r>
    </w:p>
    <w:bookmarkEnd w:id="28"/>
    <w:bookmarkStart w:id="30" w:name="ref-seif2025"/>
    <w:p>
      <w:pPr>
        <w:pStyle w:val="Bibliography"/>
      </w:pPr>
      <w:r>
        <w:t xml:space="preserve">[11]</w:t>
      </w:r>
      <w:r>
        <w:t xml:space="preserve"> </w:t>
      </w:r>
      <w:r>
        <w:t xml:space="preserve">	</w:t>
      </w:r>
      <w:r>
        <w:t xml:space="preserve">M. Seif, B. A. Souraki, and J. S. Amin,</w:t>
      </w:r>
      <w:r>
        <w:t xml:space="preserve"> </w:t>
      </w:r>
      <w:r>
        <w:t xml:space="preserve">“Experimental investigation and mathematical modeling of starch extraction from fixed, expanded and fluidized beds of potatoes,”</w:t>
      </w:r>
      <w:r>
        <w:t xml:space="preserve"> </w:t>
      </w:r>
      <w:r>
        <w:rPr>
          <w:i/>
          <w:iCs/>
        </w:rPr>
        <w:t xml:space="preserve">Separation Science and Technology</w:t>
      </w:r>
      <w:r>
        <w:t xml:space="preserve">, 2025, doi:</w:t>
      </w:r>
      <w:r>
        <w:t xml:space="preserve"> </w:t>
      </w:r>
      <w:hyperlink r:id="rId29">
        <w:r>
          <w:rPr>
            <w:rStyle w:val="Hyperlink"/>
          </w:rPr>
          <w:t xml:space="preserve">10.1080/01496395.2025.2528476</w:t>
        </w:r>
      </w:hyperlink>
      <w:r>
        <w:t xml:space="preserve">.</w:t>
      </w:r>
    </w:p>
    <w:bookmarkEnd w:id="30"/>
    <w:bookmarkStart w:id="32" w:name="ref-dabestani2017"/>
    <w:p>
      <w:pPr>
        <w:pStyle w:val="Bibliography"/>
      </w:pPr>
      <w:r>
        <w:t xml:space="preserve">[12]</w:t>
      </w:r>
      <w:r>
        <w:t xml:space="preserve"> </w:t>
      </w:r>
      <w:r>
        <w:t xml:space="preserve">	</w:t>
      </w:r>
      <w:r>
        <w:t xml:space="preserve">S. Dabestani, J. Arcot, and V. Chen,</w:t>
      </w:r>
      <w:r>
        <w:t xml:space="preserve"> </w:t>
      </w:r>
      <w:r>
        <w:t xml:space="preserve">“Protein recovery from potato processing water: Pre-treatment and membrane fouling minimization,”</w:t>
      </w:r>
      <w:r>
        <w:t xml:space="preserve"> </w:t>
      </w:r>
      <w:r>
        <w:t xml:space="preserve">2017, doi:</w:t>
      </w:r>
      <w:r>
        <w:t xml:space="preserve"> </w:t>
      </w:r>
      <w:hyperlink r:id="rId31">
        <w:r>
          <w:rPr>
            <w:rStyle w:val="Hyperlink"/>
          </w:rPr>
          <w:t xml:space="preserve">10.1016/J.JFOODENG.2016.09.013</w:t>
        </w:r>
      </w:hyperlink>
      <w:r>
        <w:t xml:space="preserve">.</w:t>
      </w:r>
    </w:p>
    <w:bookmarkEnd w:id="32"/>
    <w:bookmarkStart w:id="34" w:name="ref-li2020"/>
    <w:p>
      <w:pPr>
        <w:pStyle w:val="Bibliography"/>
      </w:pPr>
      <w:r>
        <w:t xml:space="preserve">[13]</w:t>
      </w:r>
      <w:r>
        <w:t xml:space="preserve"> </w:t>
      </w:r>
      <w:r>
        <w:t xml:space="preserve">	</w:t>
      </w:r>
      <w:r>
        <w:t xml:space="preserve">H. Li</w:t>
      </w:r>
      <w:r>
        <w:t xml:space="preserve"> </w:t>
      </w:r>
      <w:r>
        <w:rPr>
          <w:i/>
          <w:iCs/>
        </w:rPr>
        <w:t xml:space="preserve">et al.</w:t>
      </w:r>
      <w:r>
        <w:t xml:space="preserve">,</w:t>
      </w:r>
      <w:r>
        <w:t xml:space="preserve"> </w:t>
      </w:r>
      <w:r>
        <w:t xml:space="preserve">“Recovery and purification of potato proteins from potato starch wastewater by hollow fiber separation membrane integrated process,”</w:t>
      </w:r>
      <w:r>
        <w:t xml:space="preserve"> </w:t>
      </w:r>
      <w:r>
        <w:t xml:space="preserve">2020, doi:</w:t>
      </w:r>
      <w:r>
        <w:t xml:space="preserve"> </w:t>
      </w:r>
      <w:hyperlink r:id="rId33">
        <w:r>
          <w:rPr>
            <w:rStyle w:val="Hyperlink"/>
          </w:rPr>
          <w:t xml:space="preserve">10.1016/j.ifset.2020.102380</w:t>
        </w:r>
      </w:hyperlink>
      <w:r>
        <w:t xml:space="preserve">.</w:t>
      </w:r>
    </w:p>
    <w:bookmarkEnd w:id="34"/>
    <w:bookmarkStart w:id="36" w:name="ref-cardenas2023"/>
    <w:p>
      <w:pPr>
        <w:pStyle w:val="Bibliography"/>
      </w:pPr>
      <w:r>
        <w:t xml:space="preserve">[14]</w:t>
      </w:r>
      <w:r>
        <w:t xml:space="preserve"> </w:t>
      </w:r>
      <w:r>
        <w:t xml:space="preserve">	</w:t>
      </w:r>
      <w:r>
        <w:t xml:space="preserve">K. N. R. Cardenas, L. W. Y. Torres, L. R. A. Huarocc, and S. A. C. Quijano,</w:t>
      </w:r>
      <w:r>
        <w:t xml:space="preserve"> </w:t>
      </w:r>
      <w:r>
        <w:t xml:space="preserve">“Design of a machine for the optimization of the potato leaching process to produce potato starch,”</w:t>
      </w:r>
      <w:r>
        <w:t xml:space="preserve"> </w:t>
      </w:r>
      <w:r>
        <w:rPr>
          <w:i/>
          <w:iCs/>
        </w:rPr>
        <w:t xml:space="preserve">2023 IEEE 14th Annual Ubiquitous Computing, Electronics &amp; Mobile Communication Conference</w:t>
      </w:r>
      <w:r>
        <w:t xml:space="preserve">, 2023, doi:</w:t>
      </w:r>
      <w:r>
        <w:t xml:space="preserve"> </w:t>
      </w:r>
      <w:hyperlink r:id="rId35">
        <w:r>
          <w:rPr>
            <w:rStyle w:val="Hyperlink"/>
          </w:rPr>
          <w:t xml:space="preserve">10.1109/uemcon59035.2023.10316129</w:t>
        </w:r>
      </w:hyperlink>
      <w:r>
        <w:t xml:space="preserve">.</w:t>
      </w:r>
    </w:p>
    <w:bookmarkEnd w:id="36"/>
    <w:bookmarkStart w:id="38" w:name="ref-wang2020"/>
    <w:p>
      <w:pPr>
        <w:pStyle w:val="Bibliography"/>
      </w:pPr>
      <w:r>
        <w:t xml:space="preserve">[15]</w:t>
      </w:r>
      <w:r>
        <w:t xml:space="preserve"> </w:t>
      </w:r>
      <w:r>
        <w:t xml:space="preserve">	</w:t>
      </w:r>
      <w:r>
        <w:t xml:space="preserve">X. Wang</w:t>
      </w:r>
      <w:r>
        <w:t xml:space="preserve"> </w:t>
      </w:r>
      <w:r>
        <w:rPr>
          <w:i/>
          <w:iCs/>
        </w:rPr>
        <w:t xml:space="preserve">et al.</w:t>
      </w:r>
      <w:r>
        <w:t xml:space="preserve">,</w:t>
      </w:r>
      <w:r>
        <w:t xml:space="preserve"> </w:t>
      </w:r>
      <w:r>
        <w:t xml:space="preserve">“Improving the production efficiency of sweet potato starch using a newly designed sedimentation tank during starch sedimentation process,”</w:t>
      </w:r>
      <w:r>
        <w:t xml:space="preserve"> </w:t>
      </w:r>
      <w:r>
        <w:rPr>
          <w:i/>
          <w:iCs/>
        </w:rPr>
        <w:t xml:space="preserve">Journal of Food Processing and Preservation</w:t>
      </w:r>
      <w:r>
        <w:t xml:space="preserve">, 2020, doi:</w:t>
      </w:r>
      <w:r>
        <w:t xml:space="preserve"> </w:t>
      </w:r>
      <w:hyperlink r:id="rId37">
        <w:r>
          <w:rPr>
            <w:rStyle w:val="Hyperlink"/>
          </w:rPr>
          <w:t xml:space="preserve">10.1111/jfpp.14811</w:t>
        </w:r>
      </w:hyperlink>
      <w:r>
        <w:t xml:space="preserve">.</w:t>
      </w:r>
    </w:p>
    <w:bookmarkEnd w:id="38"/>
    <w:bookmarkEnd w:id="3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updateFields w:val="true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60" w:line="276" w:lineRule="auto"/>
    </w:pPr>
    <w:rPr>
      <w:rFonts w:ascii="Manrope" w:eastAsia="Noto Sans CJK JP" w:hAnsi="Manrope"/>
      <w:color w:val="171717"/>
      <w:sz w:val="22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280" w:before="0" w:line="240" w:lineRule="auto"/>
      <w:contextualSpacing/>
      <w:jc w:val="center"/>
    </w:pPr>
    <w:rPr>
      <w:rFonts w:ascii="Manrope" w:asciiTheme="majorHAnsi" w:cstheme="majorBidi" w:eastAsia="Noto Sans CJK JP" w:eastAsiaTheme="majorEastAsia" w:hAnsi="Manrope" w:hAnsiTheme="majorHAnsi"/>
      <w:b/>
      <w:color w:val="A53E5A"/>
      <w:sz w:val="52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120" w:before="320"/>
      <w:outlineLvl w:val="0"/>
    </w:pPr>
    <w:rPr>
      <w:rFonts w:ascii="Manrope" w:asciiTheme="majorHAnsi" w:cstheme="majorBidi" w:eastAsia="Noto Sans CJK JP" w:eastAsiaTheme="majorEastAsia" w:hAnsi="Manrope" w:hAnsiTheme="majorHAnsi"/>
      <w:b/>
      <w:color w:val="A53E5A"/>
      <w:sz w:val="36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240"/>
      <w:outlineLvl w:val="1"/>
    </w:pPr>
    <w:rPr>
      <w:rFonts w:ascii="Manrope" w:asciiTheme="majorHAnsi" w:cstheme="majorBidi" w:eastAsia="Noto Sans CJK JP" w:eastAsiaTheme="majorEastAsia" w:hAnsi="Manrope" w:hAnsiTheme="majorHAnsi"/>
      <w:b/>
      <w:color w:val="4D1152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60" w:before="200"/>
      <w:outlineLvl w:val="2"/>
    </w:pPr>
    <w:rPr>
      <w:rFonts w:ascii="Manrope" w:cstheme="majorBidi" w:eastAsia="Noto Sans CJK JP" w:eastAsiaTheme="majorEastAsia" w:hAnsi="Manrope"/>
      <w:b/>
      <w:color w:val="4D1152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21" Type="http://schemas.openxmlformats.org/officeDocument/2006/relationships/hyperlink" Target="http://en.cnki.com.cn/Article_en/CJFDTOTAL-HNNJ200907021.htm" TargetMode="External"/><Relationship Id="rId9" Type="http://schemas.openxmlformats.org/officeDocument/2006/relationships/hyperlink" Target="https://doi.org/10.1002/(sici)1521-379x(199907)51:7&lt;235::aid-star235&gt;3.0.co;2-7" TargetMode="External"/><Relationship Id="rId11" Type="http://schemas.openxmlformats.org/officeDocument/2006/relationships/hyperlink" Target="https://doi.org/10.1002/star.19720240408" TargetMode="External"/><Relationship Id="rId19" Type="http://schemas.openxmlformats.org/officeDocument/2006/relationships/hyperlink" Target="https://doi.org/10.1002/star.19830350402" TargetMode="External"/><Relationship Id="rId15" Type="http://schemas.openxmlformats.org/officeDocument/2006/relationships/hyperlink" Target="https://doi.org/10.1002/star.70019" TargetMode="External"/><Relationship Id="rId27" Type="http://schemas.openxmlformats.org/officeDocument/2006/relationships/hyperlink" Target="https://doi.org/10.1007/s11694-021-00862-5" TargetMode="External"/><Relationship Id="rId25" Type="http://schemas.openxmlformats.org/officeDocument/2006/relationships/hyperlink" Target="https://doi.org/10.1007/s11694-021-00887-w" TargetMode="External"/><Relationship Id="rId31" Type="http://schemas.openxmlformats.org/officeDocument/2006/relationships/hyperlink" Target="https://doi.org/10.1016/J.JFOODENG.2016.09.013" TargetMode="External"/><Relationship Id="rId33" Type="http://schemas.openxmlformats.org/officeDocument/2006/relationships/hyperlink" Target="https://doi.org/10.1016/j.ifset.2020.102380" TargetMode="External"/><Relationship Id="rId23" Type="http://schemas.openxmlformats.org/officeDocument/2006/relationships/hyperlink" Target="https://doi.org/10.1016/j.mineng.2004.01.022" TargetMode="External"/><Relationship Id="rId29" Type="http://schemas.openxmlformats.org/officeDocument/2006/relationships/hyperlink" Target="https://doi.org/10.1080/01496395.2025.2528476" TargetMode="External"/><Relationship Id="rId35" Type="http://schemas.openxmlformats.org/officeDocument/2006/relationships/hyperlink" Target="https://doi.org/10.1109/uemcon59035.2023.10316129" TargetMode="External"/><Relationship Id="rId37" Type="http://schemas.openxmlformats.org/officeDocument/2006/relationships/hyperlink" Target="https://doi.org/10.1111/jfpp.14811" TargetMode="External"/><Relationship Id="rId13" Type="http://schemas.openxmlformats.org/officeDocument/2006/relationships/hyperlink" Target="https://doi.org/10.20914/2310-1202-2016-3-36" TargetMode="External"/><Relationship Id="rId17" Type="http://schemas.openxmlformats.org/officeDocument/2006/relationships/hyperlink" Target="https://doi.org/10.3390/membranes13010059" TargetMode="External"/></Relationships>
</file>

<file path=word/_rels/footnotes.xml.rels><?xml version='1.0' encoding='UTF-8' standalone='yes'?>
<Relationships xmlns="http://schemas.openxmlformats.org/package/2006/relationships"><Relationship Id="rId21" Type="http://schemas.openxmlformats.org/officeDocument/2006/relationships/hyperlink" Target="http://en.cnki.com.cn/Article_en/CJFDTOTAL-HNNJ200907021.htm" TargetMode="External"/><Relationship Id="rId9" Type="http://schemas.openxmlformats.org/officeDocument/2006/relationships/hyperlink" Target="https://doi.org/10.1002/(sici)1521-379x(199907)51:7&lt;235::aid-star235&gt;3.0.co;2-7" TargetMode="External"/><Relationship Id="rId11" Type="http://schemas.openxmlformats.org/officeDocument/2006/relationships/hyperlink" Target="https://doi.org/10.1002/star.19720240408" TargetMode="External"/><Relationship Id="rId19" Type="http://schemas.openxmlformats.org/officeDocument/2006/relationships/hyperlink" Target="https://doi.org/10.1002/star.19830350402" TargetMode="External"/><Relationship Id="rId15" Type="http://schemas.openxmlformats.org/officeDocument/2006/relationships/hyperlink" Target="https://doi.org/10.1002/star.70019" TargetMode="External"/><Relationship Id="rId27" Type="http://schemas.openxmlformats.org/officeDocument/2006/relationships/hyperlink" Target="https://doi.org/10.1007/s11694-021-00862-5" TargetMode="External"/><Relationship Id="rId25" Type="http://schemas.openxmlformats.org/officeDocument/2006/relationships/hyperlink" Target="https://doi.org/10.1007/s11694-021-00887-w" TargetMode="External"/><Relationship Id="rId31" Type="http://schemas.openxmlformats.org/officeDocument/2006/relationships/hyperlink" Target="https://doi.org/10.1016/J.JFOODENG.2016.09.013" TargetMode="External"/><Relationship Id="rId33" Type="http://schemas.openxmlformats.org/officeDocument/2006/relationships/hyperlink" Target="https://doi.org/10.1016/j.ifset.2020.102380" TargetMode="External"/><Relationship Id="rId23" Type="http://schemas.openxmlformats.org/officeDocument/2006/relationships/hyperlink" Target="https://doi.org/10.1016/j.mineng.2004.01.022" TargetMode="External"/><Relationship Id="rId29" Type="http://schemas.openxmlformats.org/officeDocument/2006/relationships/hyperlink" Target="https://doi.org/10.1080/01496395.2025.2528476" TargetMode="External"/><Relationship Id="rId35" Type="http://schemas.openxmlformats.org/officeDocument/2006/relationships/hyperlink" Target="https://doi.org/10.1109/uemcon59035.2023.10316129" TargetMode="External"/><Relationship Id="rId37" Type="http://schemas.openxmlformats.org/officeDocument/2006/relationships/hyperlink" Target="https://doi.org/10.1111/jfpp.14811" TargetMode="External"/><Relationship Id="rId13" Type="http://schemas.openxmlformats.org/officeDocument/2006/relationships/hyperlink" Target="https://doi.org/10.20914/2310-1202-2016-3-36" TargetMode="External"/><Relationship Id="rId17" Type="http://schemas.openxmlformats.org/officeDocument/2006/relationships/hyperlink" Target="https://doi.org/10.3390/membranes130100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2026-10-18T20:11:03Z</dcterms:created>
  <dcterms:modified xsi:type="dcterms:W3CDTF">2026-10-18T20:11:03Z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nswerthis-bibliography-manifest">
    <vt:lpwstr/>
  </property>
  <property fmtid="{D5CDD505-2E9C-101B-9397-08002B2CF9AE}" pid="3" name="bibliography">
    <vt:lpwstr>/tmp/document-temp/document-request-ng3y9rd5/references.bib</vt:lpwstr>
  </property>
  <property fmtid="{D5CDD505-2E9C-101B-9397-08002B2CF9AE}" pid="4" name="csl">
    <vt:lpwstr>/tmp/document-temp/document-request-ng3y9rd5/style.csl</vt:lpwstr>
  </property>
  <property fmtid="{D5CDD505-2E9C-101B-9397-08002B2CF9AE}" pid="5" name="link-citations">
    <vt:lpwstr>True</vt:lpwstr>
  </property>
</Properties>
</file>