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50890" w14:textId="77777777" w:rsidR="005E5D44" w:rsidRDefault="00000000">
      <w:pPr>
        <w:spacing w:after="400"/>
        <w:jc w:val="center"/>
      </w:pPr>
      <w:r>
        <w:rPr>
          <w:b/>
          <w:bCs/>
          <w:sz w:val="32"/>
          <w:szCs w:val="32"/>
        </w:rPr>
        <w:t>Research gaps in public finance and environmental economics: green public expenditure and environmental tax equity</w:t>
      </w:r>
    </w:p>
    <w:p w14:paraId="69A66822" w14:textId="77777777" w:rsidR="005E5D44" w:rsidRDefault="00000000">
      <w:pPr>
        <w:pStyle w:val="Heading1"/>
        <w:spacing w:before="320" w:after="160"/>
      </w:pPr>
      <w:r>
        <w:rPr>
          <w:b/>
          <w:bCs/>
        </w:rPr>
        <w:t>Abstract</w:t>
      </w:r>
    </w:p>
    <w:p w14:paraId="2FF5C8E1" w14:textId="1CE5D793" w:rsidR="005E5D44" w:rsidRDefault="00000000">
      <w:pPr>
        <w:spacing w:after="200" w:line="360" w:lineRule="auto"/>
      </w:pPr>
      <w:r>
        <w:t xml:space="preserve">This report examines two research gaps at the intersection of public finance and environmental economics, geographic and instrument-specific evidence for green public </w:t>
      </w:r>
      <w:proofErr w:type="gramStart"/>
      <w:r>
        <w:t>expenditure, and</w:t>
      </w:r>
      <w:proofErr w:type="gramEnd"/>
      <w:r>
        <w:t xml:space="preserve"> reconciling distributional contradictions and public acceptance of environmental taxes, each mapped to a JEL classification. For each gap </w:t>
      </w:r>
      <w:r w:rsidR="006A0968">
        <w:t>I</w:t>
      </w:r>
      <w:r>
        <w:t xml:space="preserve"> describe what the underlying literature has and has not established, compare them on five research-design criteria, novelty, policy relevance, data feasibility, causal-identification strength, and JEL fit, and build a decision matrix showing what data and design choices each requires. Every substantive claim is checked against the underlying studies (Muhammad et al., 2021; </w:t>
      </w:r>
      <w:proofErr w:type="spellStart"/>
      <w:r>
        <w:t>Peñasco</w:t>
      </w:r>
      <w:proofErr w:type="spellEnd"/>
      <w:r>
        <w:t xml:space="preserve"> et al., 2021) and the AEA's JEL guide rather than taken on faith. Both gaps are recommended: the first for its high policy relevance and the sparse empirical record outside OECD countries, and the second as the more immediately tractable way to join incidence and acceptance research that has so far developed on separate tracks.</w:t>
      </w:r>
    </w:p>
    <w:p w14:paraId="03282221" w14:textId="77777777" w:rsidR="005E5D44" w:rsidRDefault="00000000">
      <w:pPr>
        <w:pStyle w:val="Heading1"/>
        <w:spacing w:before="320" w:after="160"/>
      </w:pPr>
      <w:r>
        <w:rPr>
          <w:b/>
          <w:bCs/>
        </w:rPr>
        <w:t>1. Purpose and scope</w:t>
      </w:r>
    </w:p>
    <w:p w14:paraId="35B1FCEB" w14:textId="14B3C861" w:rsidR="005E5D44" w:rsidRDefault="006A0968">
      <w:pPr>
        <w:spacing w:after="200" w:line="360" w:lineRule="auto"/>
      </w:pPr>
      <w:r>
        <w:t>I</w:t>
      </w:r>
      <w:r w:rsidR="00000000">
        <w:t xml:space="preserve"> identify two research gaps at the intersection of public finance and environmental economics, mapping each onto the JEL system: H (Public Economics), Q (Agricultural and Natural Resource Economics; Environmental and Ecological Economics), and C (Mathematical and Quantitative Methods) (American Economic Association, n.d.-b).</w:t>
      </w:r>
    </w:p>
    <w:p w14:paraId="08408E4E" w14:textId="77777777" w:rsidR="005E5D44" w:rsidRDefault="00000000">
      <w:pPr>
        <w:spacing w:after="200" w:line="360" w:lineRule="auto"/>
      </w:pPr>
      <w:r>
        <w:t xml:space="preserve">Section 2 sets out the two candidate gaps. Section 3 compares them </w:t>
      </w:r>
      <w:proofErr w:type="gramStart"/>
      <w:r>
        <w:t>on</w:t>
      </w:r>
      <w:proofErr w:type="gramEnd"/>
      <w:r>
        <w:t xml:space="preserve"> five research-design criteria. Section 4 builds a decision matrix for each gap conditional on the data available. Section 5 audits our claims against the underlying sources. Section 6 gives our recommendation.</w:t>
      </w:r>
    </w:p>
    <w:p w14:paraId="2FA00307" w14:textId="77777777" w:rsidR="005E5D44" w:rsidRDefault="00000000">
      <w:pPr>
        <w:pStyle w:val="Heading1"/>
        <w:spacing w:before="320" w:after="160"/>
      </w:pPr>
      <w:r>
        <w:rPr>
          <w:b/>
          <w:bCs/>
        </w:rPr>
        <w:t>2. Two research gaps in public finance and environmental economics</w:t>
      </w:r>
    </w:p>
    <w:p w14:paraId="28A10254" w14:textId="77777777" w:rsidR="005E5D44" w:rsidRDefault="00000000">
      <w:pPr>
        <w:pStyle w:val="Heading3"/>
        <w:spacing w:before="260" w:after="120"/>
      </w:pPr>
      <w:r>
        <w:rPr>
          <w:b/>
          <w:bCs/>
        </w:rPr>
        <w:t>Gap 5: geographic and instrument-specific evidence for green public expenditure</w:t>
      </w:r>
    </w:p>
    <w:p w14:paraId="43E321BD" w14:textId="77777777" w:rsidR="005E5D44" w:rsidRDefault="00000000">
      <w:pPr>
        <w:spacing w:after="200" w:line="360" w:lineRule="auto"/>
      </w:pPr>
      <w:r>
        <w:rPr>
          <w:b/>
          <w:bCs/>
        </w:rPr>
        <w:lastRenderedPageBreak/>
        <w:t xml:space="preserve">JEL fields: </w:t>
      </w:r>
      <w:r>
        <w:t>H (Public Economics), Q (Agricultural and Natural Resource Economics; Environmental and Ecological Economics) (American Economic Association, n.d.-b).</w:t>
      </w:r>
    </w:p>
    <w:p w14:paraId="7B922599" w14:textId="77777777" w:rsidR="005E5D44" w:rsidRDefault="00000000">
      <w:pPr>
        <w:spacing w:after="200" w:line="360" w:lineRule="auto"/>
      </w:pPr>
      <w:r>
        <w:t>A systematic review of 211 publications finds most decarbonization-policy evaluations concern OECD countries, with very few in Sub-Saharan Africa or the Middle East, and only one distributional evaluation of government procurement with limited evidence on auctions and public R&amp;D (</w:t>
      </w:r>
      <w:proofErr w:type="spellStart"/>
      <w:r>
        <w:t>Peñasco</w:t>
      </w:r>
      <w:proofErr w:type="spellEnd"/>
      <w:r>
        <w:t xml:space="preserve"> et al., 2021). The evidence base cannot say whether procurement, auctions, or public R&amp;D produce equitable low-carbon transitions under different fiscal capacities, which matters because these instruments shape who gets access to new technologies, contracts, and markets.</w:t>
      </w:r>
    </w:p>
    <w:p w14:paraId="30B96BE6" w14:textId="77777777" w:rsidR="005E5D44" w:rsidRDefault="00000000">
      <w:pPr>
        <w:spacing w:after="200" w:line="360" w:lineRule="auto"/>
      </w:pPr>
      <w:r>
        <w:t>Research direction: compare matched green-procurement, auction, and R&amp;D programs across emerging and advanced economies, measuring bid participation, award concentration, innovation, employment, prices, emissions, and incidence by firm size and household exposure, using program thresholds or rollout timing for identification.</w:t>
      </w:r>
    </w:p>
    <w:p w14:paraId="546D2035" w14:textId="77777777" w:rsidR="005E5D44" w:rsidRDefault="00000000">
      <w:pPr>
        <w:pStyle w:val="Heading3"/>
        <w:spacing w:before="260" w:after="120"/>
      </w:pPr>
      <w:r>
        <w:rPr>
          <w:b/>
          <w:bCs/>
        </w:rPr>
        <w:t>Gap 6: reconciling distributional contradictions and public acceptance of environmental taxes</w:t>
      </w:r>
    </w:p>
    <w:p w14:paraId="7979804B" w14:textId="77777777" w:rsidR="005E5D44" w:rsidRDefault="00000000">
      <w:pPr>
        <w:spacing w:after="200" w:line="360" w:lineRule="auto"/>
      </w:pPr>
      <w:r>
        <w:rPr>
          <w:b/>
          <w:bCs/>
        </w:rPr>
        <w:t xml:space="preserve">JEL fields: </w:t>
      </w:r>
      <w:r>
        <w:t>H (Public Economics), Q (Agricultural and Natural Resource Economics; Environmental and Ecological Economics), C (Mathematical and Quantitative Methods) (American Economic Association, n.d.-b).</w:t>
      </w:r>
    </w:p>
    <w:p w14:paraId="453BC4CB" w14:textId="77777777" w:rsidR="005E5D44" w:rsidRDefault="00000000">
      <w:pPr>
        <w:spacing w:after="200" w:line="360" w:lineRule="auto"/>
      </w:pPr>
      <w:r>
        <w:t>The same review finds mixed evidence on the distributional effects of energy taxes and sharp disagreement over allowance schemes, concluding that policy-design differences explain much of the contradiction (</w:t>
      </w:r>
      <w:proofErr w:type="spellStart"/>
      <w:r>
        <w:t>Peñasco</w:t>
      </w:r>
      <w:proofErr w:type="spellEnd"/>
      <w:r>
        <w:t xml:space="preserve"> et al., 2021). Separately, a review of public acceptance finds support is higher when people understand a policy and its revenue use, trust government, and see costs as fairly distributed (Muhammad et al., 2021), and it calls for moving past generic trust questions toward specific predictors (responsiveness, reliability, integrity, openness) and toward tax morale and economic perceptions directly. Incidence analysis and acceptance research have developed on separate tracks, so it remains unknown whether transparent, progressive revenue recycling can improve household burden and political durability at once.</w:t>
      </w:r>
    </w:p>
    <w:p w14:paraId="20F969DA" w14:textId="77777777" w:rsidR="005E5D44" w:rsidRDefault="00000000">
      <w:pPr>
        <w:spacing w:after="200" w:line="360" w:lineRule="auto"/>
      </w:pPr>
      <w:r>
        <w:t xml:space="preserve">Research direction: randomized information and revenue-recycling designs embedded in a carbon- or energy-tax reform, linking household expenditure panels to surveys measuring trust, </w:t>
      </w:r>
      <w:r>
        <w:lastRenderedPageBreak/>
        <w:t>tax morale, fairness, and support, and estimating incidence and behavioral response jointly across rebate designs.</w:t>
      </w:r>
    </w:p>
    <w:p w14:paraId="1B5E9C53" w14:textId="77777777" w:rsidR="005E5D44" w:rsidRDefault="00000000">
      <w:pPr>
        <w:spacing w:after="200" w:line="360" w:lineRule="auto"/>
      </w:pPr>
      <w:r>
        <w:t>Across both gaps, the common thread is a policy lever with an observable outcome and a feasible empirical design, measuring the mechanism a policy is meant to activate rather than settling for the headline tax or spending label.</w:t>
      </w:r>
    </w:p>
    <w:p w14:paraId="179FE49C" w14:textId="77777777" w:rsidR="005E5D44" w:rsidRDefault="00000000">
      <w:pPr>
        <w:pStyle w:val="Heading1"/>
        <w:spacing w:before="320" w:after="160"/>
      </w:pPr>
      <w:r>
        <w:rPr>
          <w:b/>
          <w:bCs/>
        </w:rPr>
        <w:t>3. Comparing the two gaps</w:t>
      </w:r>
    </w:p>
    <w:p w14:paraId="6C1200F2" w14:textId="32E4B0BB" w:rsidR="005E5D44" w:rsidRDefault="006A0968">
      <w:pPr>
        <w:spacing w:after="200" w:line="360" w:lineRule="auto"/>
      </w:pPr>
      <w:r>
        <w:t>I</w:t>
      </w:r>
      <w:r w:rsidR="00000000">
        <w:t xml:space="preserve"> compare the two gaps on five criteria: novelty (how explicitly the literature leaves the question open), policy relevance (closeness to an actual fiscal or environmental-policy decision), data feasibility (plausibility of obtaining linked administrative, survey, or program data), causal-identification strength (availability of a credible quasi-experimental or experimental design), and JEL fit (how cleanly the contribution maps onto a primary classification). Since the team has already chosen to pursue both gaps rather than select between them, the comparison below is descriptive rather than a ranking.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5E5D44" w14:paraId="375700C0" w14:textId="77777777">
        <w:tblPrEx>
          <w:tblCellMar>
            <w:top w:w="0" w:type="dxa"/>
            <w:bottom w:w="0" w:type="dxa"/>
          </w:tblCellMar>
        </w:tblPrEx>
        <w:trPr>
          <w:tblHeader/>
        </w:trPr>
        <w:tc>
          <w:tcPr>
            <w:tcW w:w="3120" w:type="dxa"/>
            <w:shd w:val="clear" w:color="auto" w:fill="D9E2F3"/>
            <w:tcMar>
              <w:top w:w="60" w:type="dxa"/>
              <w:left w:w="80" w:type="dxa"/>
              <w:bottom w:w="60" w:type="dxa"/>
              <w:right w:w="80" w:type="dxa"/>
            </w:tcMar>
          </w:tcPr>
          <w:p w14:paraId="09BB40AC" w14:textId="77777777" w:rsidR="005E5D44" w:rsidRDefault="00000000">
            <w:r>
              <w:rPr>
                <w:b/>
                <w:bCs/>
                <w:sz w:val="18"/>
                <w:szCs w:val="18"/>
              </w:rPr>
              <w:t>Criterion</w:t>
            </w:r>
          </w:p>
        </w:tc>
        <w:tc>
          <w:tcPr>
            <w:tcW w:w="3120" w:type="dxa"/>
            <w:shd w:val="clear" w:color="auto" w:fill="D9E2F3"/>
            <w:tcMar>
              <w:top w:w="60" w:type="dxa"/>
              <w:left w:w="80" w:type="dxa"/>
              <w:bottom w:w="60" w:type="dxa"/>
              <w:right w:w="80" w:type="dxa"/>
            </w:tcMar>
          </w:tcPr>
          <w:p w14:paraId="6FACCA97" w14:textId="77777777" w:rsidR="005E5D44" w:rsidRDefault="00000000">
            <w:r>
              <w:rPr>
                <w:b/>
                <w:bCs/>
                <w:sz w:val="18"/>
                <w:szCs w:val="18"/>
              </w:rPr>
              <w:t>Gap 5: Green public expenditure</w:t>
            </w:r>
          </w:p>
        </w:tc>
        <w:tc>
          <w:tcPr>
            <w:tcW w:w="3120" w:type="dxa"/>
            <w:shd w:val="clear" w:color="auto" w:fill="D9E2F3"/>
            <w:tcMar>
              <w:top w:w="60" w:type="dxa"/>
              <w:left w:w="80" w:type="dxa"/>
              <w:bottom w:w="60" w:type="dxa"/>
              <w:right w:w="80" w:type="dxa"/>
            </w:tcMar>
          </w:tcPr>
          <w:p w14:paraId="52E50754" w14:textId="77777777" w:rsidR="005E5D44" w:rsidRDefault="00000000">
            <w:r>
              <w:rPr>
                <w:b/>
                <w:bCs/>
                <w:sz w:val="18"/>
                <w:szCs w:val="18"/>
              </w:rPr>
              <w:t>Gap 6: Distributional incidence and acceptance</w:t>
            </w:r>
          </w:p>
        </w:tc>
      </w:tr>
      <w:tr w:rsidR="005E5D44" w14:paraId="4B95B38F" w14:textId="77777777">
        <w:tblPrEx>
          <w:tblCellMar>
            <w:top w:w="0" w:type="dxa"/>
            <w:bottom w:w="0" w:type="dxa"/>
          </w:tblCellMar>
        </w:tblPrEx>
        <w:tc>
          <w:tcPr>
            <w:tcW w:w="3120" w:type="dxa"/>
            <w:tcMar>
              <w:top w:w="60" w:type="dxa"/>
              <w:left w:w="80" w:type="dxa"/>
              <w:bottom w:w="60" w:type="dxa"/>
              <w:right w:w="80" w:type="dxa"/>
            </w:tcMar>
          </w:tcPr>
          <w:p w14:paraId="1FC49A6C" w14:textId="77777777" w:rsidR="005E5D44" w:rsidRDefault="00000000">
            <w:r>
              <w:rPr>
                <w:sz w:val="18"/>
                <w:szCs w:val="18"/>
              </w:rPr>
              <w:t>Novelty</w:t>
            </w:r>
          </w:p>
        </w:tc>
        <w:tc>
          <w:tcPr>
            <w:tcW w:w="3120" w:type="dxa"/>
            <w:tcMar>
              <w:top w:w="60" w:type="dxa"/>
              <w:left w:w="80" w:type="dxa"/>
              <w:bottom w:w="60" w:type="dxa"/>
              <w:right w:w="80" w:type="dxa"/>
            </w:tcMar>
          </w:tcPr>
          <w:p w14:paraId="5464DE73" w14:textId="77777777" w:rsidR="005E5D44" w:rsidRDefault="00000000">
            <w:r>
              <w:rPr>
                <w:sz w:val="18"/>
                <w:szCs w:val="18"/>
              </w:rPr>
              <w:t>Genuinely open: the review documents almost no distributional evaluations of procurement, auctions, or public R&amp;D outside OECD countries (</w:t>
            </w:r>
            <w:proofErr w:type="spellStart"/>
            <w:r>
              <w:rPr>
                <w:sz w:val="18"/>
                <w:szCs w:val="18"/>
              </w:rPr>
              <w:t>Peñasco</w:t>
            </w:r>
            <w:proofErr w:type="spellEnd"/>
            <w:r>
              <w:rPr>
                <w:sz w:val="18"/>
                <w:szCs w:val="18"/>
              </w:rPr>
              <w:t xml:space="preserve"> et al., 2021)</w:t>
            </w:r>
          </w:p>
        </w:tc>
        <w:tc>
          <w:tcPr>
            <w:tcW w:w="3120" w:type="dxa"/>
            <w:tcMar>
              <w:top w:w="60" w:type="dxa"/>
              <w:left w:w="80" w:type="dxa"/>
              <w:bottom w:w="60" w:type="dxa"/>
              <w:right w:w="80" w:type="dxa"/>
            </w:tcMar>
          </w:tcPr>
          <w:p w14:paraId="3CB6CAFA" w14:textId="77777777" w:rsidR="005E5D44" w:rsidRDefault="00000000">
            <w:r>
              <w:rPr>
                <w:sz w:val="18"/>
                <w:szCs w:val="18"/>
              </w:rPr>
              <w:t>Genuinely open: mixed incidence evidence and disagreement over allowance schemes remain unresolved (</w:t>
            </w:r>
            <w:proofErr w:type="spellStart"/>
            <w:r>
              <w:rPr>
                <w:sz w:val="18"/>
                <w:szCs w:val="18"/>
              </w:rPr>
              <w:t>Peñasco</w:t>
            </w:r>
            <w:proofErr w:type="spellEnd"/>
            <w:r>
              <w:rPr>
                <w:sz w:val="18"/>
                <w:szCs w:val="18"/>
              </w:rPr>
              <w:t xml:space="preserve"> et al., 2021), and acceptance research has not yet tied trust and tax-morale predictors to actual incidence outcomes (Muhammad et al., 2021)</w:t>
            </w:r>
          </w:p>
        </w:tc>
      </w:tr>
      <w:tr w:rsidR="005E5D44" w14:paraId="61974219" w14:textId="77777777">
        <w:tblPrEx>
          <w:tblCellMar>
            <w:top w:w="0" w:type="dxa"/>
            <w:bottom w:w="0" w:type="dxa"/>
          </w:tblCellMar>
        </w:tblPrEx>
        <w:tc>
          <w:tcPr>
            <w:tcW w:w="3120" w:type="dxa"/>
            <w:tcMar>
              <w:top w:w="60" w:type="dxa"/>
              <w:left w:w="80" w:type="dxa"/>
              <w:bottom w:w="60" w:type="dxa"/>
              <w:right w:w="80" w:type="dxa"/>
            </w:tcMar>
          </w:tcPr>
          <w:p w14:paraId="49164D84" w14:textId="77777777" w:rsidR="005E5D44" w:rsidRDefault="00000000">
            <w:r>
              <w:rPr>
                <w:sz w:val="18"/>
                <w:szCs w:val="18"/>
              </w:rPr>
              <w:t>Policy relevance</w:t>
            </w:r>
          </w:p>
        </w:tc>
        <w:tc>
          <w:tcPr>
            <w:tcW w:w="3120" w:type="dxa"/>
            <w:tcMar>
              <w:top w:w="60" w:type="dxa"/>
              <w:left w:w="80" w:type="dxa"/>
              <w:bottom w:w="60" w:type="dxa"/>
              <w:right w:w="80" w:type="dxa"/>
            </w:tcMar>
          </w:tcPr>
          <w:p w14:paraId="77A88F40" w14:textId="77777777" w:rsidR="005E5D44" w:rsidRDefault="00000000">
            <w:r>
              <w:rPr>
                <w:sz w:val="18"/>
                <w:szCs w:val="18"/>
              </w:rPr>
              <w:t>High: instrument choice shapes who gets access to low-carbon technologies, contracts, and markets across different fiscal capacities</w:t>
            </w:r>
          </w:p>
        </w:tc>
        <w:tc>
          <w:tcPr>
            <w:tcW w:w="3120" w:type="dxa"/>
            <w:tcMar>
              <w:top w:w="60" w:type="dxa"/>
              <w:left w:w="80" w:type="dxa"/>
              <w:bottom w:w="60" w:type="dxa"/>
              <w:right w:w="80" w:type="dxa"/>
            </w:tcMar>
          </w:tcPr>
          <w:p w14:paraId="188C8356" w14:textId="77777777" w:rsidR="005E5D44" w:rsidRDefault="00000000">
            <w:r>
              <w:rPr>
                <w:sz w:val="18"/>
                <w:szCs w:val="18"/>
              </w:rPr>
              <w:t>High: connects tax design directly to legitimacy, fairness, and the durability of a reform</w:t>
            </w:r>
          </w:p>
        </w:tc>
      </w:tr>
      <w:tr w:rsidR="005E5D44" w14:paraId="7E0A955C" w14:textId="77777777">
        <w:tblPrEx>
          <w:tblCellMar>
            <w:top w:w="0" w:type="dxa"/>
            <w:bottom w:w="0" w:type="dxa"/>
          </w:tblCellMar>
        </w:tblPrEx>
        <w:tc>
          <w:tcPr>
            <w:tcW w:w="3120" w:type="dxa"/>
            <w:tcMar>
              <w:top w:w="60" w:type="dxa"/>
              <w:left w:w="80" w:type="dxa"/>
              <w:bottom w:w="60" w:type="dxa"/>
              <w:right w:w="80" w:type="dxa"/>
            </w:tcMar>
          </w:tcPr>
          <w:p w14:paraId="02CF9A58" w14:textId="77777777" w:rsidR="005E5D44" w:rsidRDefault="00000000">
            <w:r>
              <w:rPr>
                <w:sz w:val="18"/>
                <w:szCs w:val="18"/>
              </w:rPr>
              <w:t>Data feasibility</w:t>
            </w:r>
          </w:p>
        </w:tc>
        <w:tc>
          <w:tcPr>
            <w:tcW w:w="3120" w:type="dxa"/>
            <w:tcMar>
              <w:top w:w="60" w:type="dxa"/>
              <w:left w:w="80" w:type="dxa"/>
              <w:bottom w:w="60" w:type="dxa"/>
              <w:right w:w="80" w:type="dxa"/>
            </w:tcMar>
          </w:tcPr>
          <w:p w14:paraId="7160CC9A" w14:textId="77777777" w:rsidR="005E5D44" w:rsidRDefault="00000000">
            <w:r>
              <w:rPr>
                <w:sz w:val="18"/>
                <w:szCs w:val="18"/>
              </w:rPr>
              <w:t>Constrained at the cross-country level; tractable once narrowed to one jurisdiction and one program with a government or administrative partner</w:t>
            </w:r>
          </w:p>
        </w:tc>
        <w:tc>
          <w:tcPr>
            <w:tcW w:w="3120" w:type="dxa"/>
            <w:tcMar>
              <w:top w:w="60" w:type="dxa"/>
              <w:left w:w="80" w:type="dxa"/>
              <w:bottom w:w="60" w:type="dxa"/>
              <w:right w:w="80" w:type="dxa"/>
            </w:tcMar>
          </w:tcPr>
          <w:p w14:paraId="2996175A" w14:textId="77777777" w:rsidR="005E5D44" w:rsidRDefault="00000000">
            <w:r>
              <w:rPr>
                <w:sz w:val="18"/>
                <w:szCs w:val="18"/>
              </w:rPr>
              <w:t>Moderate: needs a household expenditure panel linked to trust and acceptance surveys, harder to secure than administrative tax data but not implausible</w:t>
            </w:r>
          </w:p>
        </w:tc>
      </w:tr>
      <w:tr w:rsidR="005E5D44" w14:paraId="4270BF75" w14:textId="77777777">
        <w:tblPrEx>
          <w:tblCellMar>
            <w:top w:w="0" w:type="dxa"/>
            <w:bottom w:w="0" w:type="dxa"/>
          </w:tblCellMar>
        </w:tblPrEx>
        <w:tc>
          <w:tcPr>
            <w:tcW w:w="3120" w:type="dxa"/>
            <w:tcMar>
              <w:top w:w="60" w:type="dxa"/>
              <w:left w:w="80" w:type="dxa"/>
              <w:bottom w:w="60" w:type="dxa"/>
              <w:right w:w="80" w:type="dxa"/>
            </w:tcMar>
          </w:tcPr>
          <w:p w14:paraId="7710D711" w14:textId="77777777" w:rsidR="005E5D44" w:rsidRDefault="00000000">
            <w:r>
              <w:rPr>
                <w:sz w:val="18"/>
                <w:szCs w:val="18"/>
              </w:rPr>
              <w:t>Causal-identification strength</w:t>
            </w:r>
          </w:p>
        </w:tc>
        <w:tc>
          <w:tcPr>
            <w:tcW w:w="3120" w:type="dxa"/>
            <w:tcMar>
              <w:top w:w="60" w:type="dxa"/>
              <w:left w:w="80" w:type="dxa"/>
              <w:bottom w:w="60" w:type="dxa"/>
              <w:right w:w="80" w:type="dxa"/>
            </w:tcMar>
          </w:tcPr>
          <w:p w14:paraId="5C178FB3" w14:textId="77777777" w:rsidR="005E5D44" w:rsidRDefault="00000000">
            <w:r>
              <w:rPr>
                <w:sz w:val="18"/>
                <w:szCs w:val="18"/>
              </w:rPr>
              <w:t xml:space="preserve">Available once a specific program is </w:t>
            </w:r>
            <w:proofErr w:type="gramStart"/>
            <w:r>
              <w:rPr>
                <w:sz w:val="18"/>
                <w:szCs w:val="18"/>
              </w:rPr>
              <w:t>chosen:</w:t>
            </w:r>
            <w:proofErr w:type="gramEnd"/>
            <w:r>
              <w:rPr>
                <w:sz w:val="18"/>
                <w:szCs w:val="18"/>
              </w:rPr>
              <w:t xml:space="preserve"> eligibility thresholds, auction scoring rules, or geographic rollout timing can supply quasi-experimental variation</w:t>
            </w:r>
          </w:p>
        </w:tc>
        <w:tc>
          <w:tcPr>
            <w:tcW w:w="3120" w:type="dxa"/>
            <w:tcMar>
              <w:top w:w="60" w:type="dxa"/>
              <w:left w:w="80" w:type="dxa"/>
              <w:bottom w:w="60" w:type="dxa"/>
              <w:right w:w="80" w:type="dxa"/>
            </w:tcMar>
          </w:tcPr>
          <w:p w14:paraId="0EF0AEDB" w14:textId="77777777" w:rsidR="005E5D44" w:rsidRDefault="00000000">
            <w:r>
              <w:rPr>
                <w:sz w:val="18"/>
                <w:szCs w:val="18"/>
              </w:rPr>
              <w:t>Available: a live tax reform or a randomized information and revenue-recycling design supports difference-in-differences or experimental estimation</w:t>
            </w:r>
          </w:p>
        </w:tc>
      </w:tr>
      <w:tr w:rsidR="005E5D44" w14:paraId="7E4F42D0" w14:textId="77777777">
        <w:tblPrEx>
          <w:tblCellMar>
            <w:top w:w="0" w:type="dxa"/>
            <w:bottom w:w="0" w:type="dxa"/>
          </w:tblCellMar>
        </w:tblPrEx>
        <w:tc>
          <w:tcPr>
            <w:tcW w:w="3120" w:type="dxa"/>
            <w:tcMar>
              <w:top w:w="60" w:type="dxa"/>
              <w:left w:w="80" w:type="dxa"/>
              <w:bottom w:w="60" w:type="dxa"/>
              <w:right w:w="80" w:type="dxa"/>
            </w:tcMar>
          </w:tcPr>
          <w:p w14:paraId="7A6DB24F" w14:textId="77777777" w:rsidR="005E5D44" w:rsidRDefault="00000000">
            <w:r>
              <w:rPr>
                <w:sz w:val="18"/>
                <w:szCs w:val="18"/>
              </w:rPr>
              <w:t>JEL fit</w:t>
            </w:r>
          </w:p>
        </w:tc>
        <w:tc>
          <w:tcPr>
            <w:tcW w:w="3120" w:type="dxa"/>
            <w:tcMar>
              <w:top w:w="60" w:type="dxa"/>
              <w:left w:w="80" w:type="dxa"/>
              <w:bottom w:w="60" w:type="dxa"/>
              <w:right w:w="80" w:type="dxa"/>
            </w:tcMar>
          </w:tcPr>
          <w:p w14:paraId="5D5E737D" w14:textId="77777777" w:rsidR="005E5D44" w:rsidRDefault="00000000">
            <w:r>
              <w:rPr>
                <w:sz w:val="18"/>
                <w:szCs w:val="18"/>
              </w:rPr>
              <w:t>Clean: dual classification under H and Q, with H54 (public investment and infrastructure) as the closest sub-code</w:t>
            </w:r>
          </w:p>
        </w:tc>
        <w:tc>
          <w:tcPr>
            <w:tcW w:w="3120" w:type="dxa"/>
            <w:tcMar>
              <w:top w:w="60" w:type="dxa"/>
              <w:left w:w="80" w:type="dxa"/>
              <w:bottom w:w="60" w:type="dxa"/>
              <w:right w:w="80" w:type="dxa"/>
            </w:tcMar>
          </w:tcPr>
          <w:p w14:paraId="0B8166BE" w14:textId="77777777" w:rsidR="005E5D44" w:rsidRDefault="00000000">
            <w:r>
              <w:rPr>
                <w:sz w:val="18"/>
                <w:szCs w:val="18"/>
              </w:rPr>
              <w:t xml:space="preserve">Clean: cross-classified under both H23 (externalities, redistributive effects, and environmental taxes and subsidies) and Q58 (environmental government policy) </w:t>
            </w:r>
            <w:r>
              <w:rPr>
                <w:sz w:val="18"/>
                <w:szCs w:val="18"/>
              </w:rPr>
              <w:lastRenderedPageBreak/>
              <w:t>(American Economic Association, n.d.-a)</w:t>
            </w:r>
          </w:p>
        </w:tc>
      </w:tr>
    </w:tbl>
    <w:p w14:paraId="41C323D1" w14:textId="77777777" w:rsidR="005E5D44" w:rsidRDefault="005E5D44">
      <w:pPr>
        <w:spacing w:after="200"/>
      </w:pPr>
    </w:p>
    <w:p w14:paraId="7641E54F" w14:textId="77777777" w:rsidR="005E5D44" w:rsidRDefault="00000000">
      <w:pPr>
        <w:spacing w:after="200" w:line="360" w:lineRule="auto"/>
      </w:pPr>
      <w:r>
        <w:t xml:space="preserve">Both gaps meet the bar for a doctoral thesis or publishable paper on their own research-design merits, and neither depends on the other. The practical difference is what </w:t>
      </w:r>
      <w:proofErr w:type="gramStart"/>
      <w:r>
        <w:t>has to</w:t>
      </w:r>
      <w:proofErr w:type="gramEnd"/>
      <w:r>
        <w:t xml:space="preserve"> happen before data collection can start. Gap 6 can proceed once a household survey is linked to tax records or a live reform is identified. Gap 5 needs a narrower step first, picking one country, one instrument, and one program with an administrative partner, since the cross-country evidence the review documents </w:t>
      </w:r>
      <w:proofErr w:type="gramStart"/>
      <w:r>
        <w:t>is</w:t>
      </w:r>
      <w:proofErr w:type="gramEnd"/>
      <w:r>
        <w:t xml:space="preserve"> too sparse to support a multi-country design on its own.</w:t>
      </w:r>
    </w:p>
    <w:p w14:paraId="5907067A" w14:textId="77777777" w:rsidR="005E5D44" w:rsidRDefault="00000000">
      <w:pPr>
        <w:pStyle w:val="Heading1"/>
        <w:spacing w:before="320" w:after="160"/>
      </w:pPr>
      <w:r>
        <w:rPr>
          <w:b/>
          <w:bCs/>
        </w:rPr>
        <w:t>4. Decision matrix for the two gaps</w:t>
      </w:r>
    </w:p>
    <w:p w14:paraId="7D905D0B" w14:textId="77777777" w:rsidR="005E5D44" w:rsidRDefault="00000000">
      <w:pPr>
        <w:pStyle w:val="Heading2"/>
        <w:spacing w:before="320" w:after="160"/>
      </w:pPr>
      <w:r>
        <w:rPr>
          <w:b/>
          <w:bCs/>
        </w:rPr>
        <w:t>4.1 Datasets, linkage, and risk</w:t>
      </w:r>
    </w:p>
    <w:tbl>
      <w:tblPr>
        <w:tblW w:w="10860" w:type="dxa"/>
        <w:tblInd w:w="-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90"/>
        <w:gridCol w:w="1240"/>
        <w:gridCol w:w="1135"/>
        <w:gridCol w:w="1200"/>
        <w:gridCol w:w="1480"/>
        <w:gridCol w:w="1120"/>
        <w:gridCol w:w="1145"/>
        <w:gridCol w:w="1060"/>
        <w:gridCol w:w="1190"/>
      </w:tblGrid>
      <w:tr w:rsidR="005E5D44" w14:paraId="477CAF4E" w14:textId="77777777" w:rsidTr="006A0968">
        <w:tblPrEx>
          <w:tblCellMar>
            <w:top w:w="0" w:type="dxa"/>
            <w:bottom w:w="0" w:type="dxa"/>
          </w:tblCellMar>
        </w:tblPrEx>
        <w:trPr>
          <w:tblHeader/>
        </w:trPr>
        <w:tc>
          <w:tcPr>
            <w:tcW w:w="1290" w:type="dxa"/>
            <w:shd w:val="clear" w:color="auto" w:fill="D9E2F3"/>
            <w:tcMar>
              <w:top w:w="60" w:type="dxa"/>
              <w:left w:w="80" w:type="dxa"/>
              <w:bottom w:w="60" w:type="dxa"/>
              <w:right w:w="80" w:type="dxa"/>
            </w:tcMar>
          </w:tcPr>
          <w:p w14:paraId="264E7053" w14:textId="77777777" w:rsidR="005E5D44" w:rsidRDefault="00000000">
            <w:r>
              <w:rPr>
                <w:b/>
                <w:bCs/>
                <w:sz w:val="18"/>
                <w:szCs w:val="18"/>
              </w:rPr>
              <w:t>Research gap</w:t>
            </w:r>
          </w:p>
        </w:tc>
        <w:tc>
          <w:tcPr>
            <w:tcW w:w="1240" w:type="dxa"/>
            <w:shd w:val="clear" w:color="auto" w:fill="D9E2F3"/>
            <w:tcMar>
              <w:top w:w="60" w:type="dxa"/>
              <w:left w:w="80" w:type="dxa"/>
              <w:bottom w:w="60" w:type="dxa"/>
              <w:right w:w="80" w:type="dxa"/>
            </w:tcMar>
          </w:tcPr>
          <w:p w14:paraId="2A37E769" w14:textId="77777777" w:rsidR="005E5D44" w:rsidRDefault="00000000">
            <w:r>
              <w:rPr>
                <w:b/>
                <w:bCs/>
                <w:sz w:val="18"/>
                <w:szCs w:val="18"/>
              </w:rPr>
              <w:t>Core datasets, in priority order</w:t>
            </w:r>
          </w:p>
        </w:tc>
        <w:tc>
          <w:tcPr>
            <w:tcW w:w="1135" w:type="dxa"/>
            <w:shd w:val="clear" w:color="auto" w:fill="D9E2F3"/>
            <w:tcMar>
              <w:top w:w="60" w:type="dxa"/>
              <w:left w:w="80" w:type="dxa"/>
              <w:bottom w:w="60" w:type="dxa"/>
              <w:right w:w="80" w:type="dxa"/>
            </w:tcMar>
          </w:tcPr>
          <w:p w14:paraId="3DB57705" w14:textId="77777777" w:rsidR="005E5D44" w:rsidRDefault="00000000">
            <w:r>
              <w:rPr>
                <w:b/>
                <w:bCs/>
                <w:sz w:val="18"/>
                <w:szCs w:val="18"/>
              </w:rPr>
              <w:t>Linkage requirement</w:t>
            </w:r>
          </w:p>
        </w:tc>
        <w:tc>
          <w:tcPr>
            <w:tcW w:w="1200" w:type="dxa"/>
            <w:shd w:val="clear" w:color="auto" w:fill="D9E2F3"/>
            <w:tcMar>
              <w:top w:w="60" w:type="dxa"/>
              <w:left w:w="80" w:type="dxa"/>
              <w:bottom w:w="60" w:type="dxa"/>
              <w:right w:w="80" w:type="dxa"/>
            </w:tcMar>
          </w:tcPr>
          <w:p w14:paraId="75A3C66B" w14:textId="77777777" w:rsidR="005E5D44" w:rsidRDefault="00000000">
            <w:r>
              <w:rPr>
                <w:b/>
                <w:bCs/>
                <w:sz w:val="18"/>
                <w:szCs w:val="18"/>
              </w:rPr>
              <w:t>Principal access barrier</w:t>
            </w:r>
          </w:p>
        </w:tc>
        <w:tc>
          <w:tcPr>
            <w:tcW w:w="1480" w:type="dxa"/>
            <w:shd w:val="clear" w:color="auto" w:fill="D9E2F3"/>
            <w:tcMar>
              <w:top w:w="60" w:type="dxa"/>
              <w:left w:w="80" w:type="dxa"/>
              <w:bottom w:w="60" w:type="dxa"/>
              <w:right w:w="80" w:type="dxa"/>
            </w:tcMar>
          </w:tcPr>
          <w:p w14:paraId="26FFDB47" w14:textId="77777777" w:rsidR="005E5D44" w:rsidRDefault="00000000">
            <w:r>
              <w:rPr>
                <w:b/>
                <w:bCs/>
                <w:sz w:val="18"/>
                <w:szCs w:val="18"/>
              </w:rPr>
              <w:t>Achievable sample coverage</w:t>
            </w:r>
          </w:p>
        </w:tc>
        <w:tc>
          <w:tcPr>
            <w:tcW w:w="1120" w:type="dxa"/>
            <w:shd w:val="clear" w:color="auto" w:fill="D9E2F3"/>
            <w:tcMar>
              <w:top w:w="60" w:type="dxa"/>
              <w:left w:w="80" w:type="dxa"/>
              <w:bottom w:w="60" w:type="dxa"/>
              <w:right w:w="80" w:type="dxa"/>
            </w:tcMar>
          </w:tcPr>
          <w:p w14:paraId="408BF58E" w14:textId="77777777" w:rsidR="005E5D44" w:rsidRDefault="00000000">
            <w:r>
              <w:rPr>
                <w:b/>
                <w:bCs/>
                <w:sz w:val="18"/>
                <w:szCs w:val="18"/>
              </w:rPr>
              <w:t>Timing and minimum horizon</w:t>
            </w:r>
          </w:p>
        </w:tc>
        <w:tc>
          <w:tcPr>
            <w:tcW w:w="1145" w:type="dxa"/>
            <w:shd w:val="clear" w:color="auto" w:fill="D9E2F3"/>
            <w:tcMar>
              <w:top w:w="60" w:type="dxa"/>
              <w:left w:w="80" w:type="dxa"/>
              <w:bottom w:w="60" w:type="dxa"/>
              <w:right w:w="80" w:type="dxa"/>
            </w:tcMar>
          </w:tcPr>
          <w:p w14:paraId="54581C5B" w14:textId="77777777" w:rsidR="005E5D44" w:rsidRDefault="00000000">
            <w:r>
              <w:rPr>
                <w:b/>
                <w:bCs/>
                <w:sz w:val="18"/>
                <w:szCs w:val="18"/>
              </w:rPr>
              <w:t>Causal-design opportunity</w:t>
            </w:r>
          </w:p>
        </w:tc>
        <w:tc>
          <w:tcPr>
            <w:tcW w:w="1060" w:type="dxa"/>
            <w:shd w:val="clear" w:color="auto" w:fill="D9E2F3"/>
            <w:tcMar>
              <w:top w:w="60" w:type="dxa"/>
              <w:left w:w="80" w:type="dxa"/>
              <w:bottom w:w="60" w:type="dxa"/>
              <w:right w:w="80" w:type="dxa"/>
            </w:tcMar>
          </w:tcPr>
          <w:p w14:paraId="5344ABBE" w14:textId="77777777" w:rsidR="005E5D44" w:rsidRDefault="00000000">
            <w:r>
              <w:rPr>
                <w:b/>
                <w:bCs/>
                <w:sz w:val="18"/>
                <w:szCs w:val="18"/>
              </w:rPr>
              <w:t>Main causal-design risks</w:t>
            </w:r>
          </w:p>
        </w:tc>
        <w:tc>
          <w:tcPr>
            <w:tcW w:w="1190" w:type="dxa"/>
            <w:shd w:val="clear" w:color="auto" w:fill="D9E2F3"/>
            <w:tcMar>
              <w:top w:w="60" w:type="dxa"/>
              <w:left w:w="80" w:type="dxa"/>
              <w:bottom w:w="60" w:type="dxa"/>
              <w:right w:w="80" w:type="dxa"/>
            </w:tcMar>
          </w:tcPr>
          <w:p w14:paraId="0C7D8C51" w14:textId="77777777" w:rsidR="005E5D44" w:rsidRDefault="00000000">
            <w:r>
              <w:rPr>
                <w:b/>
                <w:bCs/>
                <w:sz w:val="18"/>
                <w:szCs w:val="18"/>
              </w:rPr>
              <w:t>Feasibility outlook</w:t>
            </w:r>
          </w:p>
        </w:tc>
      </w:tr>
      <w:tr w:rsidR="005E5D44" w14:paraId="0D21404B" w14:textId="77777777" w:rsidTr="006A0968">
        <w:tblPrEx>
          <w:tblCellMar>
            <w:top w:w="0" w:type="dxa"/>
            <w:bottom w:w="0" w:type="dxa"/>
          </w:tblCellMar>
        </w:tblPrEx>
        <w:tc>
          <w:tcPr>
            <w:tcW w:w="1290" w:type="dxa"/>
            <w:tcMar>
              <w:top w:w="60" w:type="dxa"/>
              <w:left w:w="80" w:type="dxa"/>
              <w:bottom w:w="60" w:type="dxa"/>
              <w:right w:w="80" w:type="dxa"/>
            </w:tcMar>
          </w:tcPr>
          <w:p w14:paraId="155E1FCD" w14:textId="77777777" w:rsidR="005E5D44" w:rsidRDefault="00000000">
            <w:r>
              <w:rPr>
                <w:sz w:val="18"/>
                <w:szCs w:val="18"/>
              </w:rPr>
              <w:t>Gap 6: Environmental-tax incidence and acceptance</w:t>
            </w:r>
          </w:p>
        </w:tc>
        <w:tc>
          <w:tcPr>
            <w:tcW w:w="1240" w:type="dxa"/>
            <w:tcMar>
              <w:top w:w="60" w:type="dxa"/>
              <w:left w:w="80" w:type="dxa"/>
              <w:bottom w:w="60" w:type="dxa"/>
              <w:right w:w="80" w:type="dxa"/>
            </w:tcMar>
          </w:tcPr>
          <w:p w14:paraId="56F6B47E" w14:textId="77777777" w:rsidR="005E5D44" w:rsidRDefault="00000000">
            <w:r>
              <w:rPr>
                <w:sz w:val="18"/>
                <w:szCs w:val="18"/>
              </w:rPr>
              <w:t>Household expenditure survey or scanner data; tax and price schedules; household characteristics; geocodes; repeated acceptance and trust surveys; ideally a revenue-recycling experiment</w:t>
            </w:r>
          </w:p>
        </w:tc>
        <w:tc>
          <w:tcPr>
            <w:tcW w:w="1135" w:type="dxa"/>
            <w:tcMar>
              <w:top w:w="60" w:type="dxa"/>
              <w:left w:w="80" w:type="dxa"/>
              <w:bottom w:w="60" w:type="dxa"/>
              <w:right w:w="80" w:type="dxa"/>
            </w:tcMar>
          </w:tcPr>
          <w:p w14:paraId="51772861" w14:textId="77777777" w:rsidR="005E5D44" w:rsidRDefault="00000000">
            <w:r>
              <w:rPr>
                <w:sz w:val="18"/>
                <w:szCs w:val="18"/>
              </w:rPr>
              <w:t>Household or small-area linkage between consumption, tax exposure, rebates, and survey responses</w:t>
            </w:r>
          </w:p>
        </w:tc>
        <w:tc>
          <w:tcPr>
            <w:tcW w:w="1200" w:type="dxa"/>
            <w:tcMar>
              <w:top w:w="60" w:type="dxa"/>
              <w:left w:w="80" w:type="dxa"/>
              <w:bottom w:w="60" w:type="dxa"/>
              <w:right w:w="80" w:type="dxa"/>
            </w:tcMar>
          </w:tcPr>
          <w:p w14:paraId="6354EC93" w14:textId="77777777" w:rsidR="005E5D44" w:rsidRDefault="00000000">
            <w:r>
              <w:rPr>
                <w:sz w:val="18"/>
                <w:szCs w:val="18"/>
              </w:rPr>
              <w:t>Statistical-agency access; survey consent and attrition; reconciling expenditure categories with tax bases</w:t>
            </w:r>
          </w:p>
        </w:tc>
        <w:tc>
          <w:tcPr>
            <w:tcW w:w="1480" w:type="dxa"/>
            <w:tcMar>
              <w:top w:w="60" w:type="dxa"/>
              <w:left w:w="80" w:type="dxa"/>
              <w:bottom w:w="60" w:type="dxa"/>
              <w:right w:w="80" w:type="dxa"/>
            </w:tcMar>
          </w:tcPr>
          <w:p w14:paraId="4C04AD5A" w14:textId="77777777" w:rsidR="005E5D44" w:rsidRDefault="00000000">
            <w:r>
              <w:rPr>
                <w:sz w:val="18"/>
                <w:szCs w:val="18"/>
              </w:rPr>
              <w:t>Surveyed households; hard-to-survey or energy-poor groups need deliberate oversampling for representativeness</w:t>
            </w:r>
          </w:p>
        </w:tc>
        <w:tc>
          <w:tcPr>
            <w:tcW w:w="1120" w:type="dxa"/>
            <w:tcMar>
              <w:top w:w="60" w:type="dxa"/>
              <w:left w:w="80" w:type="dxa"/>
              <w:bottom w:w="60" w:type="dxa"/>
              <w:right w:w="80" w:type="dxa"/>
            </w:tcMar>
          </w:tcPr>
          <w:p w14:paraId="6A7B2963" w14:textId="77777777" w:rsidR="005E5D44" w:rsidRDefault="00000000">
            <w:r>
              <w:rPr>
                <w:sz w:val="18"/>
                <w:szCs w:val="18"/>
              </w:rPr>
              <w:t>At least one pre-reform and one post-reform wave; a longer horizon improves measurement of adjustment and durability</w:t>
            </w:r>
          </w:p>
        </w:tc>
        <w:tc>
          <w:tcPr>
            <w:tcW w:w="1145" w:type="dxa"/>
            <w:tcMar>
              <w:top w:w="60" w:type="dxa"/>
              <w:left w:w="80" w:type="dxa"/>
              <w:bottom w:w="60" w:type="dxa"/>
              <w:right w:w="80" w:type="dxa"/>
            </w:tcMar>
          </w:tcPr>
          <w:p w14:paraId="11EFB70D" w14:textId="77777777" w:rsidR="005E5D44" w:rsidRDefault="00000000">
            <w:r>
              <w:rPr>
                <w:sz w:val="18"/>
                <w:szCs w:val="18"/>
              </w:rPr>
              <w:t>Tax-rate, eligibility, rebate, or information variation supports difference-in-differences, regression discontinuity, or randomized messaging</w:t>
            </w:r>
          </w:p>
        </w:tc>
        <w:tc>
          <w:tcPr>
            <w:tcW w:w="1060" w:type="dxa"/>
            <w:tcMar>
              <w:top w:w="60" w:type="dxa"/>
              <w:left w:w="80" w:type="dxa"/>
              <w:bottom w:w="60" w:type="dxa"/>
              <w:right w:w="80" w:type="dxa"/>
            </w:tcMar>
          </w:tcPr>
          <w:p w14:paraId="344E1968" w14:textId="77777777" w:rsidR="005E5D44" w:rsidRDefault="00000000">
            <w:r>
              <w:rPr>
                <w:sz w:val="18"/>
                <w:szCs w:val="18"/>
              </w:rPr>
              <w:t>Anticipation effects, concurrent energy-price shocks, selective survey response, and stated support diverging from behavior</w:t>
            </w:r>
          </w:p>
        </w:tc>
        <w:tc>
          <w:tcPr>
            <w:tcW w:w="1190" w:type="dxa"/>
            <w:tcMar>
              <w:top w:w="60" w:type="dxa"/>
              <w:left w:w="80" w:type="dxa"/>
              <w:bottom w:w="60" w:type="dxa"/>
              <w:right w:w="80" w:type="dxa"/>
            </w:tcMar>
          </w:tcPr>
          <w:p w14:paraId="333180A6" w14:textId="77777777" w:rsidR="005E5D44" w:rsidRDefault="00000000">
            <w:r>
              <w:rPr>
                <w:sz w:val="18"/>
                <w:szCs w:val="18"/>
              </w:rPr>
              <w:t>Moderate, contingent on linking household consumption data to tax exposure and acceptance surveys</w:t>
            </w:r>
          </w:p>
        </w:tc>
      </w:tr>
      <w:tr w:rsidR="005E5D44" w14:paraId="50DFC584" w14:textId="77777777" w:rsidTr="006A0968">
        <w:tblPrEx>
          <w:tblCellMar>
            <w:top w:w="0" w:type="dxa"/>
            <w:bottom w:w="0" w:type="dxa"/>
          </w:tblCellMar>
        </w:tblPrEx>
        <w:tc>
          <w:tcPr>
            <w:tcW w:w="1290" w:type="dxa"/>
            <w:tcMar>
              <w:top w:w="60" w:type="dxa"/>
              <w:left w:w="80" w:type="dxa"/>
              <w:bottom w:w="60" w:type="dxa"/>
              <w:right w:w="80" w:type="dxa"/>
            </w:tcMar>
          </w:tcPr>
          <w:p w14:paraId="4FAC2482" w14:textId="77777777" w:rsidR="005E5D44" w:rsidRDefault="00000000">
            <w:r>
              <w:rPr>
                <w:sz w:val="18"/>
                <w:szCs w:val="18"/>
              </w:rPr>
              <w:t>Gap 5: Green public expenditure in under-studied regions</w:t>
            </w:r>
          </w:p>
        </w:tc>
        <w:tc>
          <w:tcPr>
            <w:tcW w:w="1240" w:type="dxa"/>
            <w:tcMar>
              <w:top w:w="60" w:type="dxa"/>
              <w:left w:w="80" w:type="dxa"/>
              <w:bottom w:w="60" w:type="dxa"/>
              <w:right w:w="80" w:type="dxa"/>
            </w:tcMar>
          </w:tcPr>
          <w:p w14:paraId="1A016FF6" w14:textId="77777777" w:rsidR="005E5D44" w:rsidRDefault="00000000">
            <w:r>
              <w:rPr>
                <w:sz w:val="18"/>
                <w:szCs w:val="18"/>
              </w:rPr>
              <w:t xml:space="preserve">Procurement or auction microdata; bid and award records; firm registry; public R&amp;D awards; project locations; emissions, energy, </w:t>
            </w:r>
            <w:r>
              <w:rPr>
                <w:sz w:val="18"/>
                <w:szCs w:val="18"/>
              </w:rPr>
              <w:lastRenderedPageBreak/>
              <w:t>employment, and price outcomes</w:t>
            </w:r>
          </w:p>
        </w:tc>
        <w:tc>
          <w:tcPr>
            <w:tcW w:w="1135" w:type="dxa"/>
            <w:tcMar>
              <w:top w:w="60" w:type="dxa"/>
              <w:left w:w="80" w:type="dxa"/>
              <w:bottom w:w="60" w:type="dxa"/>
              <w:right w:w="80" w:type="dxa"/>
            </w:tcMar>
          </w:tcPr>
          <w:p w14:paraId="4430F6F3" w14:textId="77777777" w:rsidR="005E5D44" w:rsidRDefault="00000000">
            <w:r>
              <w:rPr>
                <w:sz w:val="18"/>
                <w:szCs w:val="18"/>
              </w:rPr>
              <w:lastRenderedPageBreak/>
              <w:t>Awardee and project identifiers linked to firms, places, and outcome registers</w:t>
            </w:r>
          </w:p>
        </w:tc>
        <w:tc>
          <w:tcPr>
            <w:tcW w:w="1200" w:type="dxa"/>
            <w:tcMar>
              <w:top w:w="60" w:type="dxa"/>
              <w:left w:w="80" w:type="dxa"/>
              <w:bottom w:w="60" w:type="dxa"/>
              <w:right w:w="80" w:type="dxa"/>
            </w:tcMar>
          </w:tcPr>
          <w:p w14:paraId="257EA62A" w14:textId="77777777" w:rsidR="005E5D44" w:rsidRDefault="00000000">
            <w:r>
              <w:rPr>
                <w:sz w:val="18"/>
                <w:szCs w:val="18"/>
              </w:rPr>
              <w:t>Fragmented procurement systems, nonstandard identifiers, limited environmental outcome measurement</w:t>
            </w:r>
          </w:p>
        </w:tc>
        <w:tc>
          <w:tcPr>
            <w:tcW w:w="1480" w:type="dxa"/>
            <w:tcMar>
              <w:top w:w="60" w:type="dxa"/>
              <w:left w:w="80" w:type="dxa"/>
              <w:bottom w:w="60" w:type="dxa"/>
              <w:right w:w="80" w:type="dxa"/>
            </w:tcMar>
          </w:tcPr>
          <w:p w14:paraId="06B96397" w14:textId="77777777" w:rsidR="005E5D44" w:rsidRDefault="00000000">
            <w:r>
              <w:rPr>
                <w:sz w:val="18"/>
                <w:szCs w:val="18"/>
              </w:rPr>
              <w:t>A single jurisdiction and program are more credible than an unharmonized cross-country panel, given the sparse evidence outside OECD countries (</w:t>
            </w:r>
            <w:proofErr w:type="spellStart"/>
            <w:r>
              <w:rPr>
                <w:sz w:val="18"/>
                <w:szCs w:val="18"/>
              </w:rPr>
              <w:t>Peñasco</w:t>
            </w:r>
            <w:proofErr w:type="spellEnd"/>
            <w:r>
              <w:rPr>
                <w:sz w:val="18"/>
                <w:szCs w:val="18"/>
              </w:rPr>
              <w:t xml:space="preserve"> et al., 2021)</w:t>
            </w:r>
          </w:p>
        </w:tc>
        <w:tc>
          <w:tcPr>
            <w:tcW w:w="1120" w:type="dxa"/>
            <w:tcMar>
              <w:top w:w="60" w:type="dxa"/>
              <w:left w:w="80" w:type="dxa"/>
              <w:bottom w:w="60" w:type="dxa"/>
              <w:right w:w="80" w:type="dxa"/>
            </w:tcMar>
          </w:tcPr>
          <w:p w14:paraId="112E5287" w14:textId="77777777" w:rsidR="005E5D44" w:rsidRDefault="00000000">
            <w:r>
              <w:rPr>
                <w:sz w:val="18"/>
                <w:szCs w:val="18"/>
              </w:rPr>
              <w:t>Procurement cycles plus multi-year post-award outcomes; innovation and emissions effects may lag</w:t>
            </w:r>
          </w:p>
        </w:tc>
        <w:tc>
          <w:tcPr>
            <w:tcW w:w="1145" w:type="dxa"/>
            <w:tcMar>
              <w:top w:w="60" w:type="dxa"/>
              <w:left w:w="80" w:type="dxa"/>
              <w:bottom w:w="60" w:type="dxa"/>
              <w:right w:w="80" w:type="dxa"/>
            </w:tcMar>
          </w:tcPr>
          <w:p w14:paraId="3920C123" w14:textId="77777777" w:rsidR="005E5D44" w:rsidRDefault="00000000">
            <w:r>
              <w:rPr>
                <w:sz w:val="18"/>
                <w:szCs w:val="18"/>
              </w:rPr>
              <w:t>Eligibility thresholds, auction scoring rules, geographic rollout, or budget shocks can supply quasi-experimental variation</w:t>
            </w:r>
          </w:p>
        </w:tc>
        <w:tc>
          <w:tcPr>
            <w:tcW w:w="1060" w:type="dxa"/>
            <w:tcMar>
              <w:top w:w="60" w:type="dxa"/>
              <w:left w:w="80" w:type="dxa"/>
              <w:bottom w:w="60" w:type="dxa"/>
              <w:right w:w="80" w:type="dxa"/>
            </w:tcMar>
          </w:tcPr>
          <w:p w14:paraId="389E291E" w14:textId="77777777" w:rsidR="005E5D44" w:rsidRDefault="00000000">
            <w:r>
              <w:rPr>
                <w:sz w:val="18"/>
                <w:szCs w:val="18"/>
              </w:rPr>
              <w:t>Strategic bidding, project selection effects, spillovers across places, and bundled policies</w:t>
            </w:r>
          </w:p>
        </w:tc>
        <w:tc>
          <w:tcPr>
            <w:tcW w:w="1190" w:type="dxa"/>
            <w:tcMar>
              <w:top w:w="60" w:type="dxa"/>
              <w:left w:w="80" w:type="dxa"/>
              <w:bottom w:w="60" w:type="dxa"/>
              <w:right w:w="80" w:type="dxa"/>
            </w:tcMar>
          </w:tcPr>
          <w:p w14:paraId="269C2FBA" w14:textId="77777777" w:rsidR="005E5D44" w:rsidRDefault="00000000">
            <w:r>
              <w:rPr>
                <w:sz w:val="18"/>
                <w:szCs w:val="18"/>
              </w:rPr>
              <w:t>Constrained until a specific program and administrative partner are secured</w:t>
            </w:r>
          </w:p>
        </w:tc>
      </w:tr>
    </w:tbl>
    <w:p w14:paraId="33A935B7" w14:textId="77777777" w:rsidR="005E5D44" w:rsidRDefault="005E5D44">
      <w:pPr>
        <w:spacing w:after="200"/>
      </w:pPr>
    </w:p>
    <w:p w14:paraId="7D7E825F" w14:textId="77777777" w:rsidR="005E5D44" w:rsidRDefault="00000000">
      <w:pPr>
        <w:pStyle w:val="Heading2"/>
        <w:spacing w:before="320" w:after="160"/>
      </w:pPr>
      <w:r>
        <w:rPr>
          <w:b/>
          <w:bCs/>
        </w:rPr>
        <w:t>4.2 Evidence basis</w:t>
      </w:r>
    </w:p>
    <w:p w14:paraId="795C6EFE" w14:textId="77777777" w:rsidR="005E5D44" w:rsidRDefault="00000000">
      <w:pPr>
        <w:spacing w:after="200" w:line="360" w:lineRule="auto"/>
      </w:pPr>
      <w:r>
        <w:t>Gap 6 responds to two documented problems at once: mixed distributional evidence for energy taxes and disagreement over allowance schemes (</w:t>
      </w:r>
      <w:proofErr w:type="spellStart"/>
      <w:r>
        <w:t>Peñasco</w:t>
      </w:r>
      <w:proofErr w:type="spellEnd"/>
      <w:r>
        <w:t xml:space="preserve"> et al., 2021), and acceptance research calling for work on trust predictors, tax morale, and economic perceptions (Muhammad et al., 2021). Gap 5 is justified by the same review's finding of limited distributional evidence for procurement, auctions, and public R&amp;D outside OECD countries (</w:t>
      </w:r>
      <w:proofErr w:type="spellStart"/>
      <w:r>
        <w:t>Peñasco</w:t>
      </w:r>
      <w:proofErr w:type="spellEnd"/>
      <w:r>
        <w:t xml:space="preserve"> et al., 2021).</w:t>
      </w:r>
    </w:p>
    <w:p w14:paraId="6A1B0978" w14:textId="77777777" w:rsidR="005E5D44" w:rsidRDefault="00000000">
      <w:pPr>
        <w:pStyle w:val="Heading2"/>
        <w:spacing w:before="320" w:after="160"/>
      </w:pPr>
      <w:r>
        <w:rPr>
          <w:b/>
          <w:bCs/>
        </w:rPr>
        <w:t>4.3 Research plan by gap</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5E5D44" w14:paraId="28ADA544" w14:textId="77777777">
        <w:tblPrEx>
          <w:tblCellMar>
            <w:top w:w="0" w:type="dxa"/>
            <w:bottom w:w="0" w:type="dxa"/>
          </w:tblCellMar>
        </w:tblPrEx>
        <w:trPr>
          <w:tblHeader/>
        </w:trPr>
        <w:tc>
          <w:tcPr>
            <w:tcW w:w="3120" w:type="dxa"/>
            <w:shd w:val="clear" w:color="auto" w:fill="D9E2F3"/>
            <w:tcMar>
              <w:top w:w="60" w:type="dxa"/>
              <w:left w:w="80" w:type="dxa"/>
              <w:bottom w:w="60" w:type="dxa"/>
              <w:right w:w="80" w:type="dxa"/>
            </w:tcMar>
          </w:tcPr>
          <w:p w14:paraId="2A4742E5" w14:textId="77777777" w:rsidR="005E5D44" w:rsidRDefault="00000000">
            <w:r>
              <w:rPr>
                <w:b/>
                <w:bCs/>
                <w:sz w:val="18"/>
                <w:szCs w:val="18"/>
              </w:rPr>
              <w:t>Research gap</w:t>
            </w:r>
          </w:p>
        </w:tc>
        <w:tc>
          <w:tcPr>
            <w:tcW w:w="3120" w:type="dxa"/>
            <w:shd w:val="clear" w:color="auto" w:fill="D9E2F3"/>
            <w:tcMar>
              <w:top w:w="60" w:type="dxa"/>
              <w:left w:w="80" w:type="dxa"/>
              <w:bottom w:w="60" w:type="dxa"/>
              <w:right w:w="80" w:type="dxa"/>
            </w:tcMar>
          </w:tcPr>
          <w:p w14:paraId="0ADE202A" w14:textId="77777777" w:rsidR="005E5D44" w:rsidRDefault="00000000">
            <w:r>
              <w:rPr>
                <w:b/>
                <w:bCs/>
                <w:sz w:val="18"/>
                <w:szCs w:val="18"/>
              </w:rPr>
              <w:t>Core research direction</w:t>
            </w:r>
          </w:p>
        </w:tc>
        <w:tc>
          <w:tcPr>
            <w:tcW w:w="3120" w:type="dxa"/>
            <w:shd w:val="clear" w:color="auto" w:fill="D9E2F3"/>
            <w:tcMar>
              <w:top w:w="60" w:type="dxa"/>
              <w:left w:w="80" w:type="dxa"/>
              <w:bottom w:w="60" w:type="dxa"/>
              <w:right w:w="80" w:type="dxa"/>
            </w:tcMar>
          </w:tcPr>
          <w:p w14:paraId="06849DFD" w14:textId="77777777" w:rsidR="005E5D44" w:rsidRDefault="00000000">
            <w:r>
              <w:rPr>
                <w:b/>
                <w:bCs/>
                <w:sz w:val="18"/>
                <w:szCs w:val="18"/>
              </w:rPr>
              <w:t>Key consideration</w:t>
            </w:r>
          </w:p>
        </w:tc>
      </w:tr>
      <w:tr w:rsidR="005E5D44" w14:paraId="167E5BFD" w14:textId="77777777">
        <w:tblPrEx>
          <w:tblCellMar>
            <w:top w:w="0" w:type="dxa"/>
            <w:bottom w:w="0" w:type="dxa"/>
          </w:tblCellMar>
        </w:tblPrEx>
        <w:tc>
          <w:tcPr>
            <w:tcW w:w="3120" w:type="dxa"/>
            <w:tcMar>
              <w:top w:w="60" w:type="dxa"/>
              <w:left w:w="80" w:type="dxa"/>
              <w:bottom w:w="60" w:type="dxa"/>
              <w:right w:w="80" w:type="dxa"/>
            </w:tcMar>
          </w:tcPr>
          <w:p w14:paraId="28A9D794" w14:textId="77777777" w:rsidR="005E5D44" w:rsidRDefault="00000000">
            <w:r>
              <w:rPr>
                <w:sz w:val="18"/>
                <w:szCs w:val="18"/>
              </w:rPr>
              <w:t>Gap 6: Distributional incidence and acceptance</w:t>
            </w:r>
          </w:p>
        </w:tc>
        <w:tc>
          <w:tcPr>
            <w:tcW w:w="3120" w:type="dxa"/>
            <w:tcMar>
              <w:top w:w="60" w:type="dxa"/>
              <w:left w:w="80" w:type="dxa"/>
              <w:bottom w:w="60" w:type="dxa"/>
              <w:right w:w="80" w:type="dxa"/>
            </w:tcMar>
          </w:tcPr>
          <w:p w14:paraId="16C0133F" w14:textId="77777777" w:rsidR="005E5D44" w:rsidRDefault="00000000">
            <w:r>
              <w:rPr>
                <w:sz w:val="18"/>
                <w:szCs w:val="18"/>
              </w:rPr>
              <w:t>Jointly estimate tax incidence, revenue-recycling effects, trust, fairness, and acceptance, drawing on the finding that support rises with understanding, trust, and perceived fairness (Muhammad et al., 2021)</w:t>
            </w:r>
          </w:p>
        </w:tc>
        <w:tc>
          <w:tcPr>
            <w:tcW w:w="3120" w:type="dxa"/>
            <w:tcMar>
              <w:top w:w="60" w:type="dxa"/>
              <w:left w:w="80" w:type="dxa"/>
              <w:bottom w:w="60" w:type="dxa"/>
              <w:right w:w="80" w:type="dxa"/>
            </w:tcMar>
          </w:tcPr>
          <w:p w14:paraId="61AF207E" w14:textId="77777777" w:rsidR="005E5D44" w:rsidRDefault="00000000">
            <w:r>
              <w:rPr>
                <w:sz w:val="18"/>
                <w:szCs w:val="18"/>
              </w:rPr>
              <w:t>Feasible once household consumption and survey data are linked; the constraint is data-linkage effort, not the importance of the question</w:t>
            </w:r>
          </w:p>
        </w:tc>
      </w:tr>
      <w:tr w:rsidR="005E5D44" w14:paraId="6F9D79B7" w14:textId="77777777">
        <w:tblPrEx>
          <w:tblCellMar>
            <w:top w:w="0" w:type="dxa"/>
            <w:bottom w:w="0" w:type="dxa"/>
          </w:tblCellMar>
        </w:tblPrEx>
        <w:tc>
          <w:tcPr>
            <w:tcW w:w="3120" w:type="dxa"/>
            <w:tcMar>
              <w:top w:w="60" w:type="dxa"/>
              <w:left w:w="80" w:type="dxa"/>
              <w:bottom w:w="60" w:type="dxa"/>
              <w:right w:w="80" w:type="dxa"/>
            </w:tcMar>
          </w:tcPr>
          <w:p w14:paraId="089BC710" w14:textId="77777777" w:rsidR="005E5D44" w:rsidRDefault="00000000">
            <w:r>
              <w:rPr>
                <w:sz w:val="18"/>
                <w:szCs w:val="18"/>
              </w:rPr>
              <w:t>Gap 5: Green public expenditure</w:t>
            </w:r>
          </w:p>
        </w:tc>
        <w:tc>
          <w:tcPr>
            <w:tcW w:w="3120" w:type="dxa"/>
            <w:tcMar>
              <w:top w:w="60" w:type="dxa"/>
              <w:left w:w="80" w:type="dxa"/>
              <w:bottom w:w="60" w:type="dxa"/>
              <w:right w:w="80" w:type="dxa"/>
            </w:tcMar>
          </w:tcPr>
          <w:p w14:paraId="5B307598" w14:textId="77777777" w:rsidR="005E5D44" w:rsidRDefault="00000000">
            <w:r>
              <w:rPr>
                <w:sz w:val="18"/>
                <w:szCs w:val="18"/>
              </w:rPr>
              <w:t>Narrow the scope to one country and one instrument, and exploit a rule, threshold, or rollout decided before outcomes are observed. The review reports only one distributional evaluation of government procurement, two of auctions, and one and three, respectively, of R&amp;D funding and government procurement (</w:t>
            </w:r>
            <w:proofErr w:type="spellStart"/>
            <w:r>
              <w:rPr>
                <w:sz w:val="18"/>
                <w:szCs w:val="18"/>
              </w:rPr>
              <w:t>Peñasco</w:t>
            </w:r>
            <w:proofErr w:type="spellEnd"/>
            <w:r>
              <w:rPr>
                <w:sz w:val="18"/>
                <w:szCs w:val="18"/>
              </w:rPr>
              <w:t xml:space="preserve"> et al., 2021)</w:t>
            </w:r>
          </w:p>
        </w:tc>
        <w:tc>
          <w:tcPr>
            <w:tcW w:w="3120" w:type="dxa"/>
            <w:tcMar>
              <w:top w:w="60" w:type="dxa"/>
              <w:left w:w="80" w:type="dxa"/>
              <w:bottom w:w="60" w:type="dxa"/>
              <w:right w:w="80" w:type="dxa"/>
            </w:tcMar>
          </w:tcPr>
          <w:p w14:paraId="6D1C3EAE" w14:textId="77777777" w:rsidR="005E5D44" w:rsidRDefault="00000000">
            <w:r>
              <w:rPr>
                <w:sz w:val="18"/>
                <w:szCs w:val="18"/>
              </w:rPr>
              <w:t>Requires a specific program and an administrative partner before a credible quasi-experimental design is possible</w:t>
            </w:r>
          </w:p>
        </w:tc>
      </w:tr>
    </w:tbl>
    <w:p w14:paraId="07535FE3" w14:textId="77777777" w:rsidR="005E5D44" w:rsidRDefault="005E5D44">
      <w:pPr>
        <w:spacing w:after="200"/>
      </w:pPr>
    </w:p>
    <w:p w14:paraId="24924B6D" w14:textId="77777777" w:rsidR="005E5D44" w:rsidRDefault="00000000">
      <w:pPr>
        <w:pStyle w:val="Heading1"/>
        <w:spacing w:before="320" w:after="160"/>
      </w:pPr>
      <w:r>
        <w:rPr>
          <w:b/>
          <w:bCs/>
        </w:rPr>
        <w:t>5. Citation audit</w:t>
      </w:r>
    </w:p>
    <w:p w14:paraId="1B6464C6" w14:textId="247F1D68" w:rsidR="005E5D44" w:rsidRDefault="00000000">
      <w:pPr>
        <w:spacing w:after="200" w:line="360" w:lineRule="auto"/>
      </w:pPr>
      <w:r>
        <w:t xml:space="preserve">Before relying on any of the claims above, </w:t>
      </w:r>
      <w:r w:rsidR="006A0968">
        <w:t>I</w:t>
      </w:r>
      <w:r>
        <w:t xml:space="preserve"> checked each one against the source it cites.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5E5D44" w14:paraId="14B5018A" w14:textId="77777777">
        <w:tblPrEx>
          <w:tblCellMar>
            <w:top w:w="0" w:type="dxa"/>
            <w:bottom w:w="0" w:type="dxa"/>
          </w:tblCellMar>
        </w:tblPrEx>
        <w:trPr>
          <w:tblHeader/>
        </w:trPr>
        <w:tc>
          <w:tcPr>
            <w:tcW w:w="3120" w:type="dxa"/>
            <w:shd w:val="clear" w:color="auto" w:fill="D9E2F3"/>
            <w:tcMar>
              <w:top w:w="60" w:type="dxa"/>
              <w:left w:w="80" w:type="dxa"/>
              <w:bottom w:w="60" w:type="dxa"/>
              <w:right w:w="80" w:type="dxa"/>
            </w:tcMar>
          </w:tcPr>
          <w:p w14:paraId="757AC10A" w14:textId="77777777" w:rsidR="005E5D44" w:rsidRDefault="00000000">
            <w:r>
              <w:rPr>
                <w:b/>
                <w:bCs/>
                <w:sz w:val="18"/>
                <w:szCs w:val="18"/>
              </w:rPr>
              <w:t>Claim</w:t>
            </w:r>
          </w:p>
        </w:tc>
        <w:tc>
          <w:tcPr>
            <w:tcW w:w="3120" w:type="dxa"/>
            <w:shd w:val="clear" w:color="auto" w:fill="D9E2F3"/>
            <w:tcMar>
              <w:top w:w="60" w:type="dxa"/>
              <w:left w:w="80" w:type="dxa"/>
              <w:bottom w:w="60" w:type="dxa"/>
              <w:right w:w="80" w:type="dxa"/>
            </w:tcMar>
          </w:tcPr>
          <w:p w14:paraId="014C96EC" w14:textId="77777777" w:rsidR="005E5D44" w:rsidRDefault="00000000">
            <w:r>
              <w:rPr>
                <w:b/>
                <w:bCs/>
                <w:sz w:val="18"/>
                <w:szCs w:val="18"/>
              </w:rPr>
              <w:t>Audit result</w:t>
            </w:r>
          </w:p>
        </w:tc>
        <w:tc>
          <w:tcPr>
            <w:tcW w:w="3120" w:type="dxa"/>
            <w:shd w:val="clear" w:color="auto" w:fill="D9E2F3"/>
            <w:tcMar>
              <w:top w:w="60" w:type="dxa"/>
              <w:left w:w="80" w:type="dxa"/>
              <w:bottom w:w="60" w:type="dxa"/>
              <w:right w:w="80" w:type="dxa"/>
            </w:tcMar>
          </w:tcPr>
          <w:p w14:paraId="724679A1" w14:textId="77777777" w:rsidR="005E5D44" w:rsidRDefault="00000000">
            <w:r>
              <w:rPr>
                <w:b/>
                <w:bCs/>
                <w:sz w:val="18"/>
                <w:szCs w:val="18"/>
              </w:rPr>
              <w:t>Supported wording and citation</w:t>
            </w:r>
          </w:p>
        </w:tc>
      </w:tr>
      <w:tr w:rsidR="005E5D44" w14:paraId="0F70EBEA" w14:textId="77777777">
        <w:tblPrEx>
          <w:tblCellMar>
            <w:top w:w="0" w:type="dxa"/>
            <w:bottom w:w="0" w:type="dxa"/>
          </w:tblCellMar>
        </w:tblPrEx>
        <w:tc>
          <w:tcPr>
            <w:tcW w:w="3120" w:type="dxa"/>
            <w:tcMar>
              <w:top w:w="60" w:type="dxa"/>
              <w:left w:w="80" w:type="dxa"/>
              <w:bottom w:w="60" w:type="dxa"/>
              <w:right w:w="80" w:type="dxa"/>
            </w:tcMar>
          </w:tcPr>
          <w:p w14:paraId="7F08C74C" w14:textId="77777777" w:rsidR="005E5D44" w:rsidRDefault="00000000">
            <w:r>
              <w:rPr>
                <w:sz w:val="18"/>
                <w:szCs w:val="18"/>
              </w:rPr>
              <w:t>Energy-tax distributional evidence is mixed, and allowance-scheme evidence is disputed</w:t>
            </w:r>
          </w:p>
        </w:tc>
        <w:tc>
          <w:tcPr>
            <w:tcW w:w="3120" w:type="dxa"/>
            <w:tcMar>
              <w:top w:w="60" w:type="dxa"/>
              <w:left w:w="80" w:type="dxa"/>
              <w:bottom w:w="60" w:type="dxa"/>
              <w:right w:w="80" w:type="dxa"/>
            </w:tcMar>
          </w:tcPr>
          <w:p w14:paraId="0ED2A958" w14:textId="77777777" w:rsidR="005E5D44" w:rsidRDefault="00000000">
            <w:r>
              <w:rPr>
                <w:sz w:val="18"/>
                <w:szCs w:val="18"/>
              </w:rPr>
              <w:t>Supported</w:t>
            </w:r>
          </w:p>
        </w:tc>
        <w:tc>
          <w:tcPr>
            <w:tcW w:w="3120" w:type="dxa"/>
            <w:tcMar>
              <w:top w:w="60" w:type="dxa"/>
              <w:left w:w="80" w:type="dxa"/>
              <w:bottom w:w="60" w:type="dxa"/>
              <w:right w:w="80" w:type="dxa"/>
            </w:tcMar>
          </w:tcPr>
          <w:p w14:paraId="42B75CD3" w14:textId="77777777" w:rsidR="005E5D44" w:rsidRDefault="00000000">
            <w:r>
              <w:rPr>
                <w:sz w:val="18"/>
                <w:szCs w:val="18"/>
              </w:rPr>
              <w:t xml:space="preserve">The policy review found mixed evidence on distributional effects of energy taxes and high disagreement among the evaluations of emissions-allowance </w:t>
            </w:r>
            <w:r>
              <w:rPr>
                <w:sz w:val="18"/>
                <w:szCs w:val="18"/>
              </w:rPr>
              <w:lastRenderedPageBreak/>
              <w:t>schemes it reviewed (</w:t>
            </w:r>
            <w:proofErr w:type="spellStart"/>
            <w:r>
              <w:rPr>
                <w:sz w:val="18"/>
                <w:szCs w:val="18"/>
              </w:rPr>
              <w:t>Peñasco</w:t>
            </w:r>
            <w:proofErr w:type="spellEnd"/>
            <w:r>
              <w:rPr>
                <w:sz w:val="18"/>
                <w:szCs w:val="18"/>
              </w:rPr>
              <w:t xml:space="preserve"> et al., 2021)</w:t>
            </w:r>
          </w:p>
        </w:tc>
      </w:tr>
      <w:tr w:rsidR="005E5D44" w14:paraId="5660D518" w14:textId="77777777">
        <w:tblPrEx>
          <w:tblCellMar>
            <w:top w:w="0" w:type="dxa"/>
            <w:bottom w:w="0" w:type="dxa"/>
          </w:tblCellMar>
        </w:tblPrEx>
        <w:tc>
          <w:tcPr>
            <w:tcW w:w="3120" w:type="dxa"/>
            <w:tcMar>
              <w:top w:w="60" w:type="dxa"/>
              <w:left w:w="80" w:type="dxa"/>
              <w:bottom w:w="60" w:type="dxa"/>
              <w:right w:w="80" w:type="dxa"/>
            </w:tcMar>
          </w:tcPr>
          <w:p w14:paraId="7A171AA4" w14:textId="77777777" w:rsidR="005E5D44" w:rsidRDefault="00000000">
            <w:r>
              <w:rPr>
                <w:sz w:val="18"/>
                <w:szCs w:val="18"/>
              </w:rPr>
              <w:lastRenderedPageBreak/>
              <w:t>Revenue use, trust, fairness, and climate concern are associated with environmental-tax acceptance; tax morale and trust mechanisms need study</w:t>
            </w:r>
          </w:p>
        </w:tc>
        <w:tc>
          <w:tcPr>
            <w:tcW w:w="3120" w:type="dxa"/>
            <w:tcMar>
              <w:top w:w="60" w:type="dxa"/>
              <w:left w:w="80" w:type="dxa"/>
              <w:bottom w:w="60" w:type="dxa"/>
              <w:right w:w="80" w:type="dxa"/>
            </w:tcMar>
          </w:tcPr>
          <w:p w14:paraId="6365ECFA" w14:textId="77777777" w:rsidR="005E5D44" w:rsidRDefault="00000000">
            <w:r>
              <w:rPr>
                <w:sz w:val="18"/>
                <w:szCs w:val="18"/>
              </w:rPr>
              <w:t>Supported</w:t>
            </w:r>
          </w:p>
        </w:tc>
        <w:tc>
          <w:tcPr>
            <w:tcW w:w="3120" w:type="dxa"/>
            <w:tcMar>
              <w:top w:w="60" w:type="dxa"/>
              <w:left w:w="80" w:type="dxa"/>
              <w:bottom w:w="60" w:type="dxa"/>
              <w:right w:w="80" w:type="dxa"/>
            </w:tcMar>
          </w:tcPr>
          <w:p w14:paraId="58412622" w14:textId="77777777" w:rsidR="005E5D44" w:rsidRDefault="00000000">
            <w:r>
              <w:rPr>
                <w:sz w:val="18"/>
                <w:szCs w:val="18"/>
              </w:rPr>
              <w:t>The acceptance review reports higher support when respondents are informed about policy content and revenue use, trust government, perceive fairness, and are concerned about climate change, and it calls for study of trust predictors, tax morale, economic perceptions, and fiscal-psychology mechanisms (Muhammad et al., 2021)</w:t>
            </w:r>
          </w:p>
        </w:tc>
      </w:tr>
      <w:tr w:rsidR="005E5D44" w14:paraId="028FA5A8" w14:textId="77777777">
        <w:tblPrEx>
          <w:tblCellMar>
            <w:top w:w="0" w:type="dxa"/>
            <w:bottom w:w="0" w:type="dxa"/>
          </w:tblCellMar>
        </w:tblPrEx>
        <w:tc>
          <w:tcPr>
            <w:tcW w:w="3120" w:type="dxa"/>
            <w:tcMar>
              <w:top w:w="60" w:type="dxa"/>
              <w:left w:w="80" w:type="dxa"/>
              <w:bottom w:w="60" w:type="dxa"/>
              <w:right w:w="80" w:type="dxa"/>
            </w:tcMar>
          </w:tcPr>
          <w:p w14:paraId="5BDBE564" w14:textId="77777777" w:rsidR="005E5D44" w:rsidRDefault="00000000">
            <w:r>
              <w:rPr>
                <w:sz w:val="18"/>
                <w:szCs w:val="18"/>
              </w:rPr>
              <w:t>JEL classifications are available for environmental taxes and policy, public investment, and panel methods</w:t>
            </w:r>
          </w:p>
        </w:tc>
        <w:tc>
          <w:tcPr>
            <w:tcW w:w="3120" w:type="dxa"/>
            <w:tcMar>
              <w:top w:w="60" w:type="dxa"/>
              <w:left w:w="80" w:type="dxa"/>
              <w:bottom w:w="60" w:type="dxa"/>
              <w:right w:w="80" w:type="dxa"/>
            </w:tcMar>
          </w:tcPr>
          <w:p w14:paraId="1DFC07D8" w14:textId="77777777" w:rsidR="005E5D44" w:rsidRDefault="00000000">
            <w:r>
              <w:rPr>
                <w:sz w:val="18"/>
                <w:szCs w:val="18"/>
              </w:rPr>
              <w:t>Supported, with scope discipline</w:t>
            </w:r>
          </w:p>
        </w:tc>
        <w:tc>
          <w:tcPr>
            <w:tcW w:w="3120" w:type="dxa"/>
            <w:tcMar>
              <w:top w:w="60" w:type="dxa"/>
              <w:left w:w="80" w:type="dxa"/>
              <w:bottom w:w="60" w:type="dxa"/>
              <w:right w:w="80" w:type="dxa"/>
            </w:tcMar>
          </w:tcPr>
          <w:p w14:paraId="68C5AD20" w14:textId="77777777" w:rsidR="005E5D44" w:rsidRDefault="00000000">
            <w:r>
              <w:rPr>
                <w:sz w:val="18"/>
                <w:szCs w:val="18"/>
              </w:rPr>
              <w:t xml:space="preserve">The AEA guide defines H23 as externalities, redistributive effects, and environmental taxes and subsidies, Q58 as environmental government policy, H54 as public investment and infrastructure, and C23 as panel and </w:t>
            </w:r>
            <w:proofErr w:type="spellStart"/>
            <w:r>
              <w:rPr>
                <w:sz w:val="18"/>
                <w:szCs w:val="18"/>
              </w:rPr>
              <w:t>spatio</w:t>
            </w:r>
            <w:proofErr w:type="spellEnd"/>
            <w:r>
              <w:rPr>
                <w:sz w:val="18"/>
                <w:szCs w:val="18"/>
              </w:rPr>
              <w:t>-temporal models, and it directs environmental tax and subsidy externalities to both H23 and Q58 (American Economic Association, n.d.-a)</w:t>
            </w:r>
          </w:p>
        </w:tc>
      </w:tr>
    </w:tbl>
    <w:p w14:paraId="5BD2C943" w14:textId="77777777" w:rsidR="005E5D44" w:rsidRDefault="005E5D44">
      <w:pPr>
        <w:spacing w:after="200"/>
      </w:pPr>
    </w:p>
    <w:p w14:paraId="40800820" w14:textId="77777777" w:rsidR="005E5D44" w:rsidRDefault="00000000">
      <w:pPr>
        <w:spacing w:after="200" w:line="360" w:lineRule="auto"/>
      </w:pPr>
      <w:r>
        <w:t xml:space="preserve">This audit found the empirical foundation for both gaps intact: neither claim required correction against </w:t>
      </w:r>
      <w:proofErr w:type="spellStart"/>
      <w:r>
        <w:t>Peñasco</w:t>
      </w:r>
      <w:proofErr w:type="spellEnd"/>
      <w:r>
        <w:t xml:space="preserve"> et al. (2021) or Muhammad et al. (2021). The evidence basis for Gap 5's geographic gap and Gap 6's incidence-acceptance divide holds as stated.</w:t>
      </w:r>
    </w:p>
    <w:p w14:paraId="0AC49CFA" w14:textId="77777777" w:rsidR="005E5D44" w:rsidRDefault="00000000">
      <w:pPr>
        <w:pStyle w:val="Heading1"/>
        <w:spacing w:before="320" w:after="160"/>
      </w:pPr>
      <w:r>
        <w:rPr>
          <w:b/>
          <w:bCs/>
        </w:rPr>
        <w:t>6. Recommendation</w:t>
      </w:r>
    </w:p>
    <w:p w14:paraId="33C6E522" w14:textId="4DFEF665" w:rsidR="005E5D44" w:rsidRDefault="006A0968">
      <w:pPr>
        <w:spacing w:after="200" w:line="360" w:lineRule="auto"/>
      </w:pPr>
      <w:r>
        <w:t>I</w:t>
      </w:r>
      <w:r w:rsidR="00000000">
        <w:t xml:space="preserve"> recommend both gaps identified above. The team has already chosen to pursue them together rather than select one over the other, and the case for each stands independently.</w:t>
      </w:r>
    </w:p>
    <w:p w14:paraId="705119AC" w14:textId="77777777" w:rsidR="005E5D44" w:rsidRDefault="00000000">
      <w:pPr>
        <w:spacing w:after="200" w:line="360" w:lineRule="auto"/>
      </w:pPr>
      <w:r>
        <w:t>Gap 6, distributional incidence and acceptance of environmental taxes, addresses a real, documented disagreement in the incidence literature and connects tax design directly to legitimacy, fairness, and revenue recycling. Its strongest form combines a household panel with randomized policy-information or rebate framing rather than standing alone as an opinion survey.</w:t>
      </w:r>
    </w:p>
    <w:p w14:paraId="7252D0E5" w14:textId="77777777" w:rsidR="005E5D44" w:rsidRDefault="00000000">
      <w:pPr>
        <w:spacing w:after="200" w:line="360" w:lineRule="auto"/>
      </w:pPr>
      <w:r>
        <w:t xml:space="preserve">Gap 5, geographic and instrument-specific evidence for green public expenditure, carries the higher policy ambition of the two: the decarbonization-policy review documents almost no distributional evidence for procurement, auctions, or public R&amp;D outside OECD countries, particularly in Sub-Saharan Africa and the Middle East. Its central requirement, before any </w:t>
      </w:r>
      <w:r>
        <w:lastRenderedPageBreak/>
        <w:t>empirical design is possible, is narrowing the scope to one country and one program with a government or administrative partner able to supply procurement or auction microdata.</w:t>
      </w:r>
    </w:p>
    <w:p w14:paraId="6E24D34E" w14:textId="77777777" w:rsidR="005E5D44" w:rsidRDefault="00000000">
      <w:pPr>
        <w:pStyle w:val="Heading1"/>
        <w:spacing w:before="320" w:after="160"/>
      </w:pPr>
      <w:r>
        <w:rPr>
          <w:b/>
          <w:bCs/>
        </w:rPr>
        <w:t>References</w:t>
      </w:r>
    </w:p>
    <w:p w14:paraId="15CB49C1" w14:textId="77777777" w:rsidR="005E5D44" w:rsidRDefault="00000000">
      <w:pPr>
        <w:spacing w:after="200" w:line="360" w:lineRule="auto"/>
        <w:ind w:left="720" w:hanging="720"/>
      </w:pPr>
      <w:r>
        <w:t xml:space="preserve">American Economic Association. (n.d.-a). </w:t>
      </w:r>
      <w:r>
        <w:rPr>
          <w:i/>
          <w:iCs/>
        </w:rPr>
        <w:t>JEL classification codes guide</w:t>
      </w:r>
      <w:r>
        <w:t>. https://www.aeaweb.org/jel/guide/jel.php</w:t>
      </w:r>
    </w:p>
    <w:p w14:paraId="32D932AD" w14:textId="77777777" w:rsidR="005E5D44" w:rsidRDefault="00000000">
      <w:pPr>
        <w:spacing w:after="200" w:line="360" w:lineRule="auto"/>
        <w:ind w:left="720" w:hanging="720"/>
      </w:pPr>
      <w:r>
        <w:t xml:space="preserve">American Economic Association. (n.d.-b). </w:t>
      </w:r>
      <w:r>
        <w:rPr>
          <w:i/>
          <w:iCs/>
        </w:rPr>
        <w:t xml:space="preserve">JEL classification system / </w:t>
      </w:r>
      <w:proofErr w:type="spellStart"/>
      <w:r>
        <w:rPr>
          <w:i/>
          <w:iCs/>
        </w:rPr>
        <w:t>EconLit</w:t>
      </w:r>
      <w:proofErr w:type="spellEnd"/>
      <w:r>
        <w:rPr>
          <w:i/>
          <w:iCs/>
        </w:rPr>
        <w:t xml:space="preserve"> subject descriptors</w:t>
      </w:r>
      <w:r>
        <w:t>. https://www.aeaweb.org/econlit/jelCodes.php?view=jel</w:t>
      </w:r>
    </w:p>
    <w:p w14:paraId="5179EE37" w14:textId="77777777" w:rsidR="005E5D44" w:rsidRDefault="00000000">
      <w:pPr>
        <w:spacing w:after="200" w:line="360" w:lineRule="auto"/>
        <w:ind w:left="720" w:hanging="720"/>
      </w:pPr>
      <w:r>
        <w:t xml:space="preserve">Muhammad, I., Mohd Hasnu, N. N., &amp; Ekins, P. (2021). Empirical research of public acceptance on environmental tax: A systematic literature review. </w:t>
      </w:r>
      <w:r>
        <w:rPr>
          <w:i/>
          <w:iCs/>
        </w:rPr>
        <w:t>Environments</w:t>
      </w:r>
      <w:r>
        <w:t xml:space="preserve">, </w:t>
      </w:r>
      <w:r>
        <w:rPr>
          <w:i/>
          <w:iCs/>
        </w:rPr>
        <w:t>8</w:t>
      </w:r>
      <w:r>
        <w:t>(10), Article 109. https://doi.org/10.3390/environments8100109</w:t>
      </w:r>
    </w:p>
    <w:p w14:paraId="4DB485E0" w14:textId="77777777" w:rsidR="005E5D44" w:rsidRDefault="00000000">
      <w:pPr>
        <w:spacing w:after="200" w:line="360" w:lineRule="auto"/>
        <w:ind w:left="720" w:hanging="720"/>
      </w:pPr>
      <w:proofErr w:type="spellStart"/>
      <w:r>
        <w:t>Peñasco</w:t>
      </w:r>
      <w:proofErr w:type="spellEnd"/>
      <w:r>
        <w:t xml:space="preserve">, C., </w:t>
      </w:r>
      <w:proofErr w:type="spellStart"/>
      <w:r>
        <w:t>Anadón</w:t>
      </w:r>
      <w:proofErr w:type="spellEnd"/>
      <w:r>
        <w:t xml:space="preserve">, L. D., &amp; </w:t>
      </w:r>
      <w:proofErr w:type="spellStart"/>
      <w:r>
        <w:t>Verdolini</w:t>
      </w:r>
      <w:proofErr w:type="spellEnd"/>
      <w:r>
        <w:t xml:space="preserve">, E. (2021). Systematic review of the outcomes and trade-offs of ten types of decarbonization policy instruments. </w:t>
      </w:r>
      <w:r>
        <w:rPr>
          <w:i/>
          <w:iCs/>
        </w:rPr>
        <w:t>Nature Climate Change</w:t>
      </w:r>
      <w:r>
        <w:t xml:space="preserve">, </w:t>
      </w:r>
      <w:r>
        <w:rPr>
          <w:i/>
          <w:iCs/>
        </w:rPr>
        <w:t>11</w:t>
      </w:r>
      <w:r>
        <w:t>(3), 257–265. https://doi.org/10.1038/s41558-020-00971-x</w:t>
      </w:r>
    </w:p>
    <w:sectPr w:rsidR="005E5D44">
      <w:head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A6675" w14:textId="77777777" w:rsidR="002262F6" w:rsidRDefault="002262F6">
      <w:r>
        <w:separator/>
      </w:r>
    </w:p>
  </w:endnote>
  <w:endnote w:type="continuationSeparator" w:id="0">
    <w:p w14:paraId="737AF915" w14:textId="77777777" w:rsidR="002262F6" w:rsidRDefault="00226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8271A" w14:textId="77777777" w:rsidR="002262F6" w:rsidRDefault="002262F6">
      <w:r>
        <w:separator/>
      </w:r>
    </w:p>
  </w:footnote>
  <w:footnote w:type="continuationSeparator" w:id="0">
    <w:p w14:paraId="1D965026" w14:textId="77777777" w:rsidR="002262F6" w:rsidRDefault="00226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CF152" w14:textId="77777777" w:rsidR="005E5D44" w:rsidRDefault="00000000">
    <w:pPr>
      <w:jc w:val="right"/>
    </w:pPr>
    <w:r>
      <w:rPr>
        <w:sz w:val="20"/>
        <w:szCs w:val="20"/>
      </w:rPr>
      <w:fldChar w:fldCharType="begin"/>
    </w:r>
    <w:r>
      <w:rPr>
        <w:sz w:val="20"/>
        <w:szCs w:val="20"/>
      </w:rPr>
      <w:instrText>PAGE</w:instrText>
    </w:r>
    <w:r>
      <w:rPr>
        <w:sz w:val="20"/>
        <w:szCs w:val="20"/>
      </w:rPr>
      <w:fldChar w:fldCharType="separate"/>
    </w:r>
    <w:r w:rsidR="006A0968">
      <w:rPr>
        <w:noProof/>
        <w:sz w:val="20"/>
        <w:szCs w:val="20"/>
      </w:rPr>
      <w:t>1</w:t>
    </w:r>
    <w:r>
      <w:rPr>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765C19"/>
    <w:multiLevelType w:val="hybridMultilevel"/>
    <w:tmpl w:val="71148446"/>
    <w:lvl w:ilvl="0" w:tplc="0754A15C">
      <w:start w:val="1"/>
      <w:numFmt w:val="bullet"/>
      <w:lvlText w:val="●"/>
      <w:lvlJc w:val="left"/>
      <w:pPr>
        <w:ind w:left="720" w:hanging="360"/>
      </w:pPr>
    </w:lvl>
    <w:lvl w:ilvl="1" w:tplc="E9CA7F3A">
      <w:start w:val="1"/>
      <w:numFmt w:val="bullet"/>
      <w:lvlText w:val="○"/>
      <w:lvlJc w:val="left"/>
      <w:pPr>
        <w:ind w:left="1440" w:hanging="360"/>
      </w:pPr>
    </w:lvl>
    <w:lvl w:ilvl="2" w:tplc="5D7CE80C">
      <w:start w:val="1"/>
      <w:numFmt w:val="bullet"/>
      <w:lvlText w:val="■"/>
      <w:lvlJc w:val="left"/>
      <w:pPr>
        <w:ind w:left="2160" w:hanging="360"/>
      </w:pPr>
    </w:lvl>
    <w:lvl w:ilvl="3" w:tplc="CDC0B3CE">
      <w:start w:val="1"/>
      <w:numFmt w:val="bullet"/>
      <w:lvlText w:val="●"/>
      <w:lvlJc w:val="left"/>
      <w:pPr>
        <w:ind w:left="2880" w:hanging="360"/>
      </w:pPr>
    </w:lvl>
    <w:lvl w:ilvl="4" w:tplc="965833C6">
      <w:start w:val="1"/>
      <w:numFmt w:val="bullet"/>
      <w:lvlText w:val="○"/>
      <w:lvlJc w:val="left"/>
      <w:pPr>
        <w:ind w:left="3600" w:hanging="360"/>
      </w:pPr>
    </w:lvl>
    <w:lvl w:ilvl="5" w:tplc="A66AE37A">
      <w:start w:val="1"/>
      <w:numFmt w:val="bullet"/>
      <w:lvlText w:val="■"/>
      <w:lvlJc w:val="left"/>
      <w:pPr>
        <w:ind w:left="4320" w:hanging="360"/>
      </w:pPr>
    </w:lvl>
    <w:lvl w:ilvl="6" w:tplc="57E673F4">
      <w:start w:val="1"/>
      <w:numFmt w:val="bullet"/>
      <w:lvlText w:val="●"/>
      <w:lvlJc w:val="left"/>
      <w:pPr>
        <w:ind w:left="5040" w:hanging="360"/>
      </w:pPr>
    </w:lvl>
    <w:lvl w:ilvl="7" w:tplc="CE66B09E">
      <w:start w:val="1"/>
      <w:numFmt w:val="bullet"/>
      <w:lvlText w:val="●"/>
      <w:lvlJc w:val="left"/>
      <w:pPr>
        <w:ind w:left="5760" w:hanging="360"/>
      </w:pPr>
    </w:lvl>
    <w:lvl w:ilvl="8" w:tplc="3A8A0E9C">
      <w:start w:val="1"/>
      <w:numFmt w:val="bullet"/>
      <w:lvlText w:val="●"/>
      <w:lvlJc w:val="left"/>
      <w:pPr>
        <w:ind w:left="6480" w:hanging="360"/>
      </w:pPr>
    </w:lvl>
  </w:abstractNum>
  <w:num w:numId="1" w16cid:durableId="5576724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D44"/>
    <w:rsid w:val="002262F6"/>
    <w:rsid w:val="005E5D44"/>
    <w:rsid w:val="006A0968"/>
    <w:rsid w:val="00B01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B7F7A"/>
  <w15:docId w15:val="{0F5252A1-C6EE-4526-B7D6-590285A0A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2206</Words>
  <Characters>12578</Characters>
  <Application>Microsoft Office Word</Application>
  <DocSecurity>0</DocSecurity>
  <Lines>104</Lines>
  <Paragraphs>29</Paragraphs>
  <ScaleCrop>false</ScaleCrop>
  <Company/>
  <LinksUpToDate>false</LinksUpToDate>
  <CharactersWithSpaces>14755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Pandora Phan</cp:lastModifiedBy>
  <cp:revision>2</cp:revision>
  <dcterms:created xsi:type="dcterms:W3CDTF">2026-09-28T05:55:00Z</dcterms:created>
  <dcterms:modified xsi:type="dcterms:W3CDTF">2026-09-28T06:02:00Z</dcterms:modified>
</cp:coreProperties>
</file>